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106F3" w14:textId="1498A2A3" w:rsidR="00A92791" w:rsidRDefault="00A92791" w:rsidP="00A92791">
      <w:pPr>
        <w:jc w:val="center"/>
        <w:rPr>
          <w:rFonts w:eastAsia="Times New Roman" w:cs="Times New Roman"/>
          <w:b/>
          <w:color w:val="FF0000"/>
          <w:sz w:val="40"/>
          <w:szCs w:val="40"/>
          <w:lang w:eastAsia="fr-FR"/>
        </w:rPr>
      </w:pPr>
      <w:bookmarkStart w:id="0" w:name="_GoBack"/>
      <w:bookmarkEnd w:id="0"/>
      <w:r>
        <w:rPr>
          <w:rFonts w:eastAsia="Times New Roman" w:cs="Times New Roman"/>
          <w:b/>
          <w:color w:val="FF0000"/>
          <w:sz w:val="40"/>
          <w:szCs w:val="40"/>
          <w:lang w:eastAsia="fr-FR"/>
        </w:rPr>
        <w:t>ACCUEIL AU BLOC OPÉRATOIRE</w:t>
      </w:r>
    </w:p>
    <w:p w14:paraId="47CD774F" w14:textId="336ACEC2" w:rsidR="00A92791" w:rsidRPr="00A92791" w:rsidRDefault="00A92791" w:rsidP="00A92791">
      <w:pPr>
        <w:jc w:val="center"/>
        <w:rPr>
          <w:rFonts w:eastAsia="Times New Roman" w:cs="Times New Roman"/>
          <w:b/>
          <w:color w:val="FF0000"/>
          <w:sz w:val="40"/>
          <w:szCs w:val="40"/>
          <w:lang w:eastAsia="fr-FR"/>
        </w:rPr>
      </w:pPr>
      <w:r w:rsidRPr="00A92791">
        <w:rPr>
          <w:rFonts w:eastAsia="Times New Roman" w:cs="Times New Roman"/>
          <w:b/>
          <w:color w:val="FF0000"/>
          <w:sz w:val="40"/>
          <w:szCs w:val="40"/>
          <w:lang w:eastAsia="fr-FR"/>
        </w:rPr>
        <w:t>PRISE EN CHARGE DE L’ANXIÉTÉ</w:t>
      </w:r>
    </w:p>
    <w:p w14:paraId="150DA707" w14:textId="77777777" w:rsidR="00A92791" w:rsidRPr="00EF41B1" w:rsidRDefault="00A92791" w:rsidP="001E52A5">
      <w:pPr>
        <w:tabs>
          <w:tab w:val="left" w:pos="3760"/>
        </w:tabs>
        <w:rPr>
          <w:i/>
        </w:rPr>
      </w:pPr>
    </w:p>
    <w:p w14:paraId="7C20FD2A" w14:textId="69CDECC8" w:rsidR="00A92791" w:rsidRPr="007933E6" w:rsidRDefault="00A92791" w:rsidP="001E52A5">
      <w:pPr>
        <w:tabs>
          <w:tab w:val="left" w:pos="6"/>
          <w:tab w:val="left" w:pos="12"/>
        </w:tabs>
        <w:rPr>
          <w:rFonts w:eastAsia="Times New Roman" w:cs="Times New Roman"/>
          <w:lang w:eastAsia="fr-FR"/>
        </w:rPr>
      </w:pPr>
      <w:r w:rsidRPr="007933E6">
        <w:rPr>
          <w:rFonts w:eastAsia="Times New Roman" w:cs="Times New Roman"/>
          <w:lang w:eastAsia="fr-FR"/>
        </w:rPr>
        <w:t>51</w:t>
      </w:r>
      <w:r w:rsidRPr="007933E6">
        <w:rPr>
          <w:rFonts w:eastAsia="Times New Roman" w:cs="Times New Roman"/>
          <w:vertAlign w:val="superscript"/>
          <w:lang w:eastAsia="fr-FR"/>
        </w:rPr>
        <w:t>e</w:t>
      </w:r>
      <w:r w:rsidRPr="007933E6">
        <w:rPr>
          <w:rFonts w:eastAsia="Times New Roman" w:cs="Times New Roman"/>
          <w:lang w:eastAsia="fr-FR"/>
        </w:rPr>
        <w:t xml:space="preserve"> congrès national d'anesthésie et de réanimation. </w:t>
      </w:r>
      <w:r w:rsidRPr="007933E6">
        <w:rPr>
          <w:rFonts w:eastAsia="Times New Roman" w:cs="Times New Roman"/>
          <w:lang w:eastAsia="fr-FR"/>
        </w:rPr>
        <w:br/>
        <w:t xml:space="preserve">Infirmiers. Infirmier(e)s anesthésistes diplômé(e)s d’état (IADE) </w:t>
      </w:r>
      <w:r w:rsidRPr="007933E6">
        <w:rPr>
          <w:rFonts w:eastAsia="Times New Roman" w:cs="Times New Roman"/>
          <w:lang w:eastAsia="fr-FR"/>
        </w:rPr>
        <w:br/>
        <w:t>© 2009 Elsevier Ma</w:t>
      </w:r>
      <w:r>
        <w:rPr>
          <w:rFonts w:eastAsia="Times New Roman" w:cs="Times New Roman"/>
          <w:lang w:eastAsia="fr-FR"/>
        </w:rPr>
        <w:t>sson SAS. Tous droits réservés.</w:t>
      </w:r>
    </w:p>
    <w:p w14:paraId="189D3D9B" w14:textId="77777777" w:rsidR="00A92791" w:rsidRPr="007933E6" w:rsidRDefault="00A92791" w:rsidP="001E52A5">
      <w:pPr>
        <w:tabs>
          <w:tab w:val="left" w:pos="9041"/>
        </w:tabs>
        <w:rPr>
          <w:rFonts w:eastAsia="Times New Roman" w:cs="Times New Roman"/>
          <w:lang w:eastAsia="fr-FR"/>
        </w:rPr>
      </w:pPr>
    </w:p>
    <w:p w14:paraId="5D1F13AB"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xml:space="preserve">E.  Chabay </w:t>
      </w:r>
      <w:r w:rsidRPr="007933E6">
        <w:rPr>
          <w:rFonts w:eastAsia="Times New Roman" w:cs="Times New Roman"/>
          <w:noProof/>
          <w:color w:val="0000FF"/>
          <w:lang w:eastAsia="fr-FR"/>
        </w:rPr>
        <w:drawing>
          <wp:inline distT="0" distB="0" distL="0" distR="0" wp14:anchorId="3EC5E4EF" wp14:editId="48EC749F">
            <wp:extent cx="203200" cy="203200"/>
            <wp:effectExtent l="0" t="0" r="0" b="0"/>
            <wp:docPr id="2" name="Image 2" descr="ailto:elvoci@yahoo.fr">
              <a:hlinkClick xmlns:a="http://schemas.openxmlformats.org/drawingml/2006/main" r:id="rId8" tooltip="&quot;mailto:elvoci@yahoo.f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lto:elvoci@yahoo.fr">
                      <a:hlinkClick r:id="rId8" tooltip="&quot;mailto:elvoci@yahoo.f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7933E6">
        <w:rPr>
          <w:rFonts w:eastAsia="Times New Roman" w:cs="Times New Roman"/>
          <w:lang w:eastAsia="fr-FR"/>
        </w:rPr>
        <w:t>, M.  Chinouilh, C.  Pignoux, B.  Fontaine</w:t>
      </w:r>
    </w:p>
    <w:p w14:paraId="0C425CC5" w14:textId="68221488" w:rsidR="001E52A5" w:rsidRDefault="001E52A5" w:rsidP="001E52A5">
      <w:pPr>
        <w:rPr>
          <w:rFonts w:eastAsia="Times New Roman" w:cs="Times New Roman"/>
          <w:lang w:eastAsia="fr-FR"/>
        </w:rPr>
      </w:pPr>
      <w:bookmarkStart w:id="1" w:name="af0601"/>
      <w:bookmarkEnd w:id="1"/>
      <w:r w:rsidRPr="007933E6">
        <w:rPr>
          <w:rFonts w:eastAsia="Times New Roman" w:cs="Times New Roman"/>
          <w:lang w:eastAsia="fr-FR"/>
        </w:rPr>
        <w:t xml:space="preserve">Service d’anesthésie, hôpital d’instruction des armées Robert-Picqué, 351, route de Toulouse, CS 80002, 33882 Villenave-d’Ornon, </w:t>
      </w:r>
      <w:r w:rsidR="00A92791">
        <w:rPr>
          <w:rFonts w:eastAsia="Times New Roman" w:cs="Times New Roman"/>
          <w:lang w:eastAsia="fr-FR"/>
        </w:rPr>
        <w:t>FRANCE</w:t>
      </w:r>
    </w:p>
    <w:p w14:paraId="635114D6" w14:textId="77777777" w:rsidR="00A92791" w:rsidRPr="007933E6" w:rsidRDefault="00A92791" w:rsidP="001E52A5">
      <w:pPr>
        <w:rPr>
          <w:rFonts w:eastAsia="Times New Roman" w:cs="Times New Roman"/>
          <w:lang w:eastAsia="fr-FR"/>
        </w:rPr>
      </w:pPr>
    </w:p>
    <w:p w14:paraId="68ED9647" w14:textId="77777777" w:rsidR="001E52A5" w:rsidRPr="007933E6" w:rsidRDefault="001E52A5" w:rsidP="001E52A5">
      <w:pPr>
        <w:rPr>
          <w:rFonts w:eastAsia="Times New Roman" w:cs="Times New Roman"/>
          <w:b/>
          <w:color w:val="FF0000"/>
          <w:lang w:eastAsia="fr-FR"/>
        </w:rPr>
      </w:pPr>
      <w:r w:rsidRPr="007933E6">
        <w:rPr>
          <w:rFonts w:eastAsia="Times New Roman" w:cs="Times New Roman"/>
          <w:b/>
          <w:color w:val="FF0000"/>
          <w:lang w:eastAsia="fr-FR"/>
        </w:rPr>
        <w:t>Points essentiels</w:t>
      </w:r>
    </w:p>
    <w:tbl>
      <w:tblPr>
        <w:tblW w:w="5000" w:type="pct"/>
        <w:tblCellSpacing w:w="100" w:type="dxa"/>
        <w:tblCellMar>
          <w:left w:w="0" w:type="dxa"/>
          <w:right w:w="0" w:type="dxa"/>
        </w:tblCellMar>
        <w:tblLook w:val="04A0" w:firstRow="1" w:lastRow="0" w:firstColumn="1" w:lastColumn="0" w:noHBand="0" w:noVBand="1"/>
      </w:tblPr>
      <w:tblGrid>
        <w:gridCol w:w="620"/>
        <w:gridCol w:w="8846"/>
      </w:tblGrid>
      <w:tr w:rsidR="001E52A5" w:rsidRPr="007933E6" w14:paraId="0E1954E0" w14:textId="77777777" w:rsidTr="001E52A5">
        <w:trPr>
          <w:tblCellSpacing w:w="100" w:type="dxa"/>
        </w:trPr>
        <w:tc>
          <w:tcPr>
            <w:tcW w:w="0" w:type="auto"/>
            <w:hideMark/>
          </w:tcPr>
          <w:p w14:paraId="7DAB2224" w14:textId="77777777" w:rsidR="001E52A5" w:rsidRPr="007933E6" w:rsidRDefault="001E52A5" w:rsidP="001E52A5">
            <w:pPr>
              <w:rPr>
                <w:rFonts w:eastAsia="Times New Roman" w:cs="Times New Roman"/>
                <w:lang w:eastAsia="fr-FR"/>
              </w:rPr>
            </w:pPr>
            <w:r w:rsidRPr="007933E6">
              <w:rPr>
                <w:rFonts w:eastAsia="Times New Roman" w:cs="Times New Roman"/>
                <w:noProof/>
                <w:lang w:eastAsia="fr-FR"/>
              </w:rPr>
              <w:drawing>
                <wp:inline distT="0" distB="0" distL="0" distR="0" wp14:anchorId="3242E2C3" wp14:editId="4B021500">
                  <wp:extent cx="203200" cy="215900"/>
                  <wp:effectExtent l="0" t="0" r="0" b="12700"/>
                  <wp:docPr id="3" name="Image 3" descr="http://www.sfar.org/acta/dossier/ressources/images/p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far.org/acta/dossier/ressources/images/pu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tc>
        <w:tc>
          <w:tcPr>
            <w:tcW w:w="0" w:type="auto"/>
            <w:hideMark/>
          </w:tcPr>
          <w:p w14:paraId="2949C50D"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L’anxiété face à l’acte opératoire existe, et doit être différenciée de l’anxiété trait.</w:t>
            </w:r>
          </w:p>
        </w:tc>
      </w:tr>
      <w:tr w:rsidR="001E52A5" w:rsidRPr="007933E6" w14:paraId="4CE037F7" w14:textId="77777777" w:rsidTr="001E52A5">
        <w:trPr>
          <w:tblCellSpacing w:w="100" w:type="dxa"/>
        </w:trPr>
        <w:tc>
          <w:tcPr>
            <w:tcW w:w="0" w:type="auto"/>
            <w:hideMark/>
          </w:tcPr>
          <w:p w14:paraId="7CD9BDFC" w14:textId="77777777" w:rsidR="001E52A5" w:rsidRPr="007933E6" w:rsidRDefault="001E52A5" w:rsidP="001E52A5">
            <w:pPr>
              <w:rPr>
                <w:rFonts w:eastAsia="Times New Roman" w:cs="Times New Roman"/>
                <w:lang w:eastAsia="fr-FR"/>
              </w:rPr>
            </w:pPr>
            <w:r w:rsidRPr="007933E6">
              <w:rPr>
                <w:rFonts w:eastAsia="Times New Roman" w:cs="Times New Roman"/>
                <w:noProof/>
                <w:lang w:eastAsia="fr-FR"/>
              </w:rPr>
              <w:drawing>
                <wp:inline distT="0" distB="0" distL="0" distR="0" wp14:anchorId="29EC89C0" wp14:editId="726D620A">
                  <wp:extent cx="203200" cy="215900"/>
                  <wp:effectExtent l="0" t="0" r="0" b="12700"/>
                  <wp:docPr id="4" name="Image 4" descr="http://www.sfar.org/acta/dossier/ressources/images/p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far.org/acta/dossier/ressources/images/pu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tc>
        <w:tc>
          <w:tcPr>
            <w:tcW w:w="0" w:type="auto"/>
            <w:hideMark/>
          </w:tcPr>
          <w:p w14:paraId="485A579F"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L’expression de l’anxiété est propre à chaque patient. Elle nécessite une évaluation et une prise en charge individuelles.</w:t>
            </w:r>
          </w:p>
        </w:tc>
      </w:tr>
      <w:tr w:rsidR="001E52A5" w:rsidRPr="007933E6" w14:paraId="42076998" w14:textId="77777777" w:rsidTr="001E52A5">
        <w:trPr>
          <w:tblCellSpacing w:w="100" w:type="dxa"/>
        </w:trPr>
        <w:tc>
          <w:tcPr>
            <w:tcW w:w="0" w:type="auto"/>
            <w:hideMark/>
          </w:tcPr>
          <w:p w14:paraId="50CFEA54" w14:textId="77777777" w:rsidR="001E52A5" w:rsidRPr="007933E6" w:rsidRDefault="001E52A5" w:rsidP="001E52A5">
            <w:pPr>
              <w:rPr>
                <w:rFonts w:eastAsia="Times New Roman" w:cs="Times New Roman"/>
                <w:lang w:eastAsia="fr-FR"/>
              </w:rPr>
            </w:pPr>
            <w:r w:rsidRPr="007933E6">
              <w:rPr>
                <w:rFonts w:eastAsia="Times New Roman" w:cs="Times New Roman"/>
                <w:noProof/>
                <w:lang w:eastAsia="fr-FR"/>
              </w:rPr>
              <w:drawing>
                <wp:inline distT="0" distB="0" distL="0" distR="0" wp14:anchorId="69570AEC" wp14:editId="4B4AF226">
                  <wp:extent cx="203200" cy="215900"/>
                  <wp:effectExtent l="0" t="0" r="0" b="12700"/>
                  <wp:docPr id="5" name="Image 5" descr="http://www.sfar.org/acta/dossier/ressources/images/p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far.org/acta/dossier/ressources/images/pu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tc>
        <w:tc>
          <w:tcPr>
            <w:tcW w:w="0" w:type="auto"/>
            <w:hideMark/>
          </w:tcPr>
          <w:p w14:paraId="535D6C0F"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L’utilisation d’échelle visuelle analogique d’autoévaluation est validée, simple et reproductible.</w:t>
            </w:r>
          </w:p>
        </w:tc>
      </w:tr>
      <w:tr w:rsidR="001E52A5" w:rsidRPr="007933E6" w14:paraId="1CBA9CFF" w14:textId="77777777" w:rsidTr="001E52A5">
        <w:trPr>
          <w:tblCellSpacing w:w="100" w:type="dxa"/>
        </w:trPr>
        <w:tc>
          <w:tcPr>
            <w:tcW w:w="0" w:type="auto"/>
            <w:hideMark/>
          </w:tcPr>
          <w:p w14:paraId="316AC682" w14:textId="77777777" w:rsidR="001E52A5" w:rsidRPr="007933E6" w:rsidRDefault="001E52A5" w:rsidP="001E52A5">
            <w:pPr>
              <w:rPr>
                <w:rFonts w:eastAsia="Times New Roman" w:cs="Times New Roman"/>
                <w:lang w:eastAsia="fr-FR"/>
              </w:rPr>
            </w:pPr>
            <w:r w:rsidRPr="007933E6">
              <w:rPr>
                <w:rFonts w:eastAsia="Times New Roman" w:cs="Times New Roman"/>
                <w:noProof/>
                <w:lang w:eastAsia="fr-FR"/>
              </w:rPr>
              <w:drawing>
                <wp:inline distT="0" distB="0" distL="0" distR="0" wp14:anchorId="153883A9" wp14:editId="341F946E">
                  <wp:extent cx="203200" cy="215900"/>
                  <wp:effectExtent l="0" t="0" r="0" b="12700"/>
                  <wp:docPr id="6" name="Image 6" descr="http://www.sfar.org/acta/dossier/ressources/images/p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far.org/acta/dossier/ressources/images/pu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tc>
        <w:tc>
          <w:tcPr>
            <w:tcW w:w="0" w:type="auto"/>
            <w:hideMark/>
          </w:tcPr>
          <w:p w14:paraId="684E3E58"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xml:space="preserve">Différents supports doivent être choisis pour l’information sur le déroulement et ce lieu inconnu qu’est le bloc. La communication doit débuter en aval du sas d’accueil. </w:t>
            </w:r>
          </w:p>
        </w:tc>
      </w:tr>
      <w:tr w:rsidR="001E52A5" w:rsidRPr="007933E6" w14:paraId="263FE655" w14:textId="77777777" w:rsidTr="001E52A5">
        <w:trPr>
          <w:tblCellSpacing w:w="100" w:type="dxa"/>
        </w:trPr>
        <w:tc>
          <w:tcPr>
            <w:tcW w:w="0" w:type="auto"/>
            <w:hideMark/>
          </w:tcPr>
          <w:p w14:paraId="3E25B31C" w14:textId="77777777" w:rsidR="001E52A5" w:rsidRPr="007933E6" w:rsidRDefault="001E52A5" w:rsidP="001E52A5">
            <w:pPr>
              <w:rPr>
                <w:rFonts w:eastAsia="Times New Roman" w:cs="Times New Roman"/>
                <w:lang w:eastAsia="fr-FR"/>
              </w:rPr>
            </w:pPr>
            <w:r w:rsidRPr="007933E6">
              <w:rPr>
                <w:rFonts w:eastAsia="Times New Roman" w:cs="Times New Roman"/>
                <w:noProof/>
                <w:lang w:eastAsia="fr-FR"/>
              </w:rPr>
              <w:drawing>
                <wp:inline distT="0" distB="0" distL="0" distR="0" wp14:anchorId="3A8E15FB" wp14:editId="77EE05BD">
                  <wp:extent cx="203200" cy="215900"/>
                  <wp:effectExtent l="0" t="0" r="0" b="12700"/>
                  <wp:docPr id="7" name="Image 7" descr="http://www.sfar.org/acta/dossier/ressources/images/p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far.org/acta/dossier/ressources/images/pu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tc>
        <w:tc>
          <w:tcPr>
            <w:tcW w:w="0" w:type="auto"/>
            <w:hideMark/>
          </w:tcPr>
          <w:p w14:paraId="47551628"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L’accueil doit être réfléchi, organisé et commun.</w:t>
            </w:r>
          </w:p>
        </w:tc>
      </w:tr>
      <w:tr w:rsidR="001E52A5" w:rsidRPr="007933E6" w14:paraId="57B25ECB" w14:textId="77777777" w:rsidTr="001E52A5">
        <w:trPr>
          <w:tblCellSpacing w:w="100" w:type="dxa"/>
        </w:trPr>
        <w:tc>
          <w:tcPr>
            <w:tcW w:w="0" w:type="auto"/>
            <w:hideMark/>
          </w:tcPr>
          <w:p w14:paraId="7C7410A2" w14:textId="77777777" w:rsidR="001E52A5" w:rsidRPr="007933E6" w:rsidRDefault="001E52A5" w:rsidP="001E52A5">
            <w:pPr>
              <w:rPr>
                <w:rFonts w:eastAsia="Times New Roman" w:cs="Times New Roman"/>
                <w:lang w:eastAsia="fr-FR"/>
              </w:rPr>
            </w:pPr>
            <w:r w:rsidRPr="007933E6">
              <w:rPr>
                <w:rFonts w:eastAsia="Times New Roman" w:cs="Times New Roman"/>
                <w:noProof/>
                <w:lang w:eastAsia="fr-FR"/>
              </w:rPr>
              <w:drawing>
                <wp:inline distT="0" distB="0" distL="0" distR="0" wp14:anchorId="015F0F69" wp14:editId="36DEEA6A">
                  <wp:extent cx="203200" cy="215900"/>
                  <wp:effectExtent l="0" t="0" r="0" b="12700"/>
                  <wp:docPr id="8" name="Image 8" descr="http://www.sfar.org/acta/dossier/ressources/images/p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far.org/acta/dossier/ressources/images/pu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tc>
        <w:tc>
          <w:tcPr>
            <w:tcW w:w="0" w:type="auto"/>
            <w:hideMark/>
          </w:tcPr>
          <w:p w14:paraId="0BAF1B2E"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Il faut lutter contre les dysfonctionnements organisationnels, prévoir un temps adapté à l’accueil.</w:t>
            </w:r>
          </w:p>
        </w:tc>
      </w:tr>
      <w:tr w:rsidR="001E52A5" w:rsidRPr="007933E6" w14:paraId="4873A8E7" w14:textId="77777777" w:rsidTr="001E52A5">
        <w:trPr>
          <w:tblCellSpacing w:w="100" w:type="dxa"/>
        </w:trPr>
        <w:tc>
          <w:tcPr>
            <w:tcW w:w="0" w:type="auto"/>
            <w:hideMark/>
          </w:tcPr>
          <w:p w14:paraId="70EB7C97" w14:textId="77777777" w:rsidR="001E52A5" w:rsidRPr="007933E6" w:rsidRDefault="001E52A5" w:rsidP="001E52A5">
            <w:pPr>
              <w:rPr>
                <w:rFonts w:eastAsia="Times New Roman" w:cs="Times New Roman"/>
                <w:lang w:eastAsia="fr-FR"/>
              </w:rPr>
            </w:pPr>
            <w:r w:rsidRPr="007933E6">
              <w:rPr>
                <w:rFonts w:eastAsia="Times New Roman" w:cs="Times New Roman"/>
                <w:noProof/>
                <w:lang w:eastAsia="fr-FR"/>
              </w:rPr>
              <w:drawing>
                <wp:inline distT="0" distB="0" distL="0" distR="0" wp14:anchorId="20D3B1FD" wp14:editId="745FEECE">
                  <wp:extent cx="203200" cy="215900"/>
                  <wp:effectExtent l="0" t="0" r="0" b="12700"/>
                  <wp:docPr id="9" name="Image 9" descr="http://www.sfar.org/acta/dossier/ressources/images/pu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far.org/acta/dossier/ressources/images/pu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215900"/>
                          </a:xfrm>
                          <a:prstGeom prst="rect">
                            <a:avLst/>
                          </a:prstGeom>
                          <a:noFill/>
                          <a:ln>
                            <a:noFill/>
                          </a:ln>
                        </pic:spPr>
                      </pic:pic>
                    </a:graphicData>
                  </a:graphic>
                </wp:inline>
              </w:drawing>
            </w:r>
          </w:p>
        </w:tc>
        <w:tc>
          <w:tcPr>
            <w:tcW w:w="0" w:type="auto"/>
            <w:hideMark/>
          </w:tcPr>
          <w:p w14:paraId="1517ADCF"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Il existe des possibilités d’amélioration du bien-être du patient au bloc opératoire : décor, ambiance lumineuse, adaptation musicale, aromathérapie.</w:t>
            </w:r>
          </w:p>
        </w:tc>
      </w:tr>
    </w:tbl>
    <w:p w14:paraId="1823836E" w14:textId="77777777" w:rsidR="001E52A5" w:rsidRPr="007933E6" w:rsidRDefault="001E52A5" w:rsidP="001E52A5">
      <w:pPr>
        <w:rPr>
          <w:rFonts w:eastAsia="Times New Roman" w:cs="Times New Roman"/>
          <w:b/>
          <w:color w:val="FF0000"/>
          <w:lang w:eastAsia="fr-FR"/>
        </w:rPr>
      </w:pPr>
      <w:bookmarkStart w:id="2" w:name="c0006s0001"/>
      <w:bookmarkEnd w:id="2"/>
      <w:r w:rsidRPr="007933E6">
        <w:rPr>
          <w:rFonts w:eastAsia="Times New Roman" w:cs="Times New Roman"/>
          <w:b/>
          <w:color w:val="FF0000"/>
          <w:lang w:eastAsia="fr-FR"/>
        </w:rPr>
        <w:t>Introduction</w:t>
      </w:r>
    </w:p>
    <w:p w14:paraId="2575E0D0" w14:textId="77777777" w:rsidR="001E52A5" w:rsidRPr="007933E6" w:rsidRDefault="001E52A5" w:rsidP="001E52A5">
      <w:pPr>
        <w:spacing w:before="100" w:beforeAutospacing="1" w:after="100" w:afterAutospacing="1"/>
        <w:rPr>
          <w:rFonts w:cs="Times New Roman"/>
          <w:lang w:eastAsia="fr-FR"/>
        </w:rPr>
      </w:pPr>
      <w:bookmarkStart w:id="3" w:name="c0006p0008"/>
      <w:bookmarkEnd w:id="3"/>
      <w:r w:rsidRPr="007933E6">
        <w:rPr>
          <w:rFonts w:cs="Times New Roman"/>
          <w:lang w:eastAsia="fr-FR"/>
        </w:rPr>
        <w:t xml:space="preserve">L’anxiété est une réaction face à un danger inconnu par la personne. C’est un état de désarroi psychique, s’accompagnant d’un sentiment d’insécurité. On distingue néanmoins l’anxiété trait de l’anxiété face à un événement. </w:t>
      </w:r>
    </w:p>
    <w:p w14:paraId="363E5AD6" w14:textId="77777777" w:rsidR="001E52A5" w:rsidRPr="007933E6" w:rsidRDefault="001E52A5" w:rsidP="001E52A5">
      <w:pPr>
        <w:spacing w:before="100" w:beforeAutospacing="1" w:after="100" w:afterAutospacing="1"/>
        <w:rPr>
          <w:rFonts w:cs="Times New Roman"/>
          <w:lang w:eastAsia="fr-FR"/>
        </w:rPr>
      </w:pPr>
      <w:bookmarkStart w:id="4" w:name="c0006p0009"/>
      <w:bookmarkEnd w:id="4"/>
      <w:r w:rsidRPr="007933E6">
        <w:rPr>
          <w:rFonts w:cs="Times New Roman"/>
          <w:lang w:eastAsia="fr-FR"/>
        </w:rPr>
        <w:t>Il existe quatre niveaux d’anxiété : l’anxiété légère (patient sur le qui-vive), modérée (l’attention devient sélective), grave (il existe une atteinte de la perception, de l’analyse et des anomalies physiologiques) et l’état de panique (il existe une déformation du champ de perception ; la personne est incapable de comprendre la situation et réagit de façon imprévisible à un stimulus même mineur).</w:t>
      </w:r>
    </w:p>
    <w:p w14:paraId="112FA454" w14:textId="77777777" w:rsidR="001E52A5" w:rsidRPr="007933E6" w:rsidRDefault="001E52A5" w:rsidP="001E52A5">
      <w:pPr>
        <w:rPr>
          <w:rFonts w:eastAsia="Times New Roman" w:cs="Times New Roman"/>
          <w:b/>
          <w:color w:val="FF0000"/>
          <w:lang w:eastAsia="fr-FR"/>
        </w:rPr>
      </w:pPr>
      <w:bookmarkStart w:id="5" w:name="c0006s0002"/>
      <w:bookmarkEnd w:id="5"/>
      <w:r w:rsidRPr="007933E6">
        <w:rPr>
          <w:rFonts w:eastAsia="Times New Roman" w:cs="Times New Roman"/>
          <w:b/>
          <w:color w:val="FF0000"/>
          <w:lang w:eastAsia="fr-FR"/>
        </w:rPr>
        <w:t>Comment évaluer l’anxiété préopératoire ?</w:t>
      </w:r>
    </w:p>
    <w:p w14:paraId="6BBFE329" w14:textId="77777777" w:rsidR="001E52A5" w:rsidRPr="007933E6" w:rsidRDefault="001E52A5" w:rsidP="001E52A5">
      <w:pPr>
        <w:spacing w:before="100" w:beforeAutospacing="1" w:after="100" w:afterAutospacing="1"/>
        <w:rPr>
          <w:rFonts w:cs="Times New Roman"/>
          <w:lang w:eastAsia="fr-FR"/>
        </w:rPr>
      </w:pPr>
      <w:bookmarkStart w:id="6" w:name="c0006p0010"/>
      <w:bookmarkEnd w:id="6"/>
      <w:r w:rsidRPr="007933E6">
        <w:rPr>
          <w:rFonts w:cs="Times New Roman"/>
          <w:lang w:eastAsia="fr-FR"/>
        </w:rPr>
        <w:t xml:space="preserve">L’exemple typique peut être le patient (avec son vécu, sa personnalité, son histoire personnelle et familiale, ses doutes et ses angoisses) arrivant au bloc opératoire pour un acte chirurgical sous anesthésie, chez qui se « bousculent » : la peur de souffrir ou de </w:t>
      </w:r>
      <w:r w:rsidRPr="007933E6">
        <w:rPr>
          <w:rFonts w:cs="Times New Roman"/>
          <w:lang w:eastAsia="fr-FR"/>
        </w:rPr>
        <w:lastRenderedPageBreak/>
        <w:t xml:space="preserve">mourir, l’atteinte de l’intégrité physique, l’état de dépendance lié à l’hospitalisation, la possibilité de rechute, l’échec ou le risque d’erreur lors de l’intervention, le contexte. </w:t>
      </w:r>
    </w:p>
    <w:p w14:paraId="3B7A8206" w14:textId="77777777" w:rsidR="001E52A5" w:rsidRPr="007933E6" w:rsidRDefault="001E52A5" w:rsidP="001E52A5">
      <w:pPr>
        <w:spacing w:before="100" w:beforeAutospacing="1" w:after="100" w:afterAutospacing="1"/>
        <w:rPr>
          <w:rFonts w:cs="Times New Roman"/>
          <w:lang w:eastAsia="fr-FR"/>
        </w:rPr>
      </w:pPr>
      <w:bookmarkStart w:id="7" w:name="c0006p0011"/>
      <w:bookmarkEnd w:id="7"/>
      <w:r w:rsidRPr="007933E6">
        <w:rPr>
          <w:rFonts w:cs="Times New Roman"/>
          <w:lang w:eastAsia="fr-FR"/>
        </w:rPr>
        <w:t>Des antécédents de cancer ou de tabagisme actif, des désordres psychiatriques, une perception négative du futur, une douleur modérée à intense, la chirurgie non programmée, le sexe féminin, la catégorie ASA 3, et le haut niveau d’études représentent des facteurs de risque indépendants d’un état d’anxiété préopératoire [</w:t>
      </w:r>
      <w:hyperlink r:id="rId11" w:anchor="c0006bib0001" w:history="1">
        <w:r w:rsidRPr="007933E6">
          <w:rPr>
            <w:rFonts w:cs="Times New Roman"/>
            <w:color w:val="0000FF"/>
            <w:u w:val="single"/>
            <w:lang w:eastAsia="fr-FR"/>
          </w:rPr>
          <w:t>1</w:t>
        </w:r>
      </w:hyperlink>
      <w:r w:rsidRPr="007933E6">
        <w:rPr>
          <w:rFonts w:cs="Times New Roman"/>
          <w:lang w:eastAsia="fr-FR"/>
        </w:rPr>
        <w:t>]. La confrontation au risque anesthésique est modifiée par diverses influences (croyance, médias, intégration des informations reçues, qualité du contact avec les soignants, vécu antérieur). Quarante pour cent des opérés sont anxieux. De manière globale, les opérés sont 20 % plus anxieux que la population générale. Le jeûne est un facteur aggravant.</w:t>
      </w:r>
    </w:p>
    <w:p w14:paraId="65DAE9D5" w14:textId="77777777" w:rsidR="001E52A5" w:rsidRPr="007933E6" w:rsidRDefault="001E52A5" w:rsidP="001E52A5">
      <w:pPr>
        <w:spacing w:before="100" w:beforeAutospacing="1" w:after="100" w:afterAutospacing="1"/>
        <w:rPr>
          <w:rFonts w:cs="Times New Roman"/>
          <w:lang w:eastAsia="fr-FR"/>
        </w:rPr>
      </w:pPr>
      <w:bookmarkStart w:id="8" w:name="c0006p0012"/>
      <w:bookmarkEnd w:id="8"/>
      <w:r w:rsidRPr="007933E6">
        <w:rPr>
          <w:rFonts w:cs="Times New Roman"/>
          <w:lang w:eastAsia="fr-FR"/>
        </w:rPr>
        <w:t>Les réactions physiologiques associées à l’anxiété sont transmises principalement par le système nerveux autonome (tachycardie, hypertension artérielle, polypnée, tonus musculaire, trouble du sommeil, modification des rythmes électroencéphalographiques, sudation) et peuvent retentir sur l’induction (consommation d’anesthésiques). Dans certains travaux, ces effets sont discutés [</w:t>
      </w:r>
      <w:hyperlink r:id="rId12" w:anchor="c0006bib0002" w:history="1">
        <w:r w:rsidRPr="007933E6">
          <w:rPr>
            <w:rFonts w:cs="Times New Roman"/>
            <w:color w:val="0000FF"/>
            <w:u w:val="single"/>
            <w:lang w:eastAsia="fr-FR"/>
          </w:rPr>
          <w:t>2</w:t>
        </w:r>
      </w:hyperlink>
      <w:r w:rsidRPr="007933E6">
        <w:rPr>
          <w:rFonts w:cs="Times New Roman"/>
          <w:lang w:eastAsia="fr-FR"/>
        </w:rPr>
        <w:t>].</w:t>
      </w:r>
    </w:p>
    <w:p w14:paraId="1A497F6D" w14:textId="77777777" w:rsidR="001E52A5" w:rsidRPr="007933E6" w:rsidRDefault="001E52A5" w:rsidP="001E52A5">
      <w:pPr>
        <w:spacing w:before="100" w:beforeAutospacing="1" w:after="100" w:afterAutospacing="1"/>
        <w:rPr>
          <w:rFonts w:cs="Times New Roman"/>
          <w:lang w:eastAsia="fr-FR"/>
        </w:rPr>
      </w:pPr>
      <w:bookmarkStart w:id="9" w:name="c0006p0013"/>
      <w:bookmarkEnd w:id="9"/>
      <w:r w:rsidRPr="007933E6">
        <w:rPr>
          <w:rFonts w:cs="Times New Roman"/>
          <w:lang w:eastAsia="fr-FR"/>
        </w:rPr>
        <w:t>Le transport préopératoire sur un brancard est un facteur anxiogène, par la position, la difficulté à visualiser et à communiquer (amenant certains à évoquer une entrée au bloc sur ses pieds) [</w:t>
      </w:r>
      <w:hyperlink r:id="rId13" w:anchor="c0006bib0003" w:history="1">
        <w:r w:rsidRPr="007933E6">
          <w:rPr>
            <w:rFonts w:cs="Times New Roman"/>
            <w:color w:val="0000FF"/>
            <w:u w:val="single"/>
            <w:lang w:eastAsia="fr-FR"/>
          </w:rPr>
          <w:t>3</w:t>
        </w:r>
      </w:hyperlink>
      <w:r w:rsidRPr="007933E6">
        <w:rPr>
          <w:rFonts w:cs="Times New Roman"/>
          <w:lang w:eastAsia="fr-FR"/>
        </w:rPr>
        <w:t>].</w:t>
      </w:r>
    </w:p>
    <w:p w14:paraId="10AA336B" w14:textId="77777777" w:rsidR="001E52A5" w:rsidRPr="007933E6" w:rsidRDefault="001E52A5" w:rsidP="001E52A5">
      <w:pPr>
        <w:spacing w:before="100" w:beforeAutospacing="1" w:after="100" w:afterAutospacing="1"/>
        <w:rPr>
          <w:rFonts w:cs="Times New Roman"/>
          <w:lang w:eastAsia="fr-FR"/>
        </w:rPr>
      </w:pPr>
      <w:bookmarkStart w:id="10" w:name="c0006p0014"/>
      <w:bookmarkEnd w:id="10"/>
      <w:r w:rsidRPr="007933E6">
        <w:rPr>
          <w:rFonts w:cs="Times New Roman"/>
          <w:lang w:eastAsia="fr-FR"/>
        </w:rPr>
        <w:t xml:space="preserve">Dans toutes les étapes qui vont conduire au bloc opératoire, l’homme malade traverse des états contraignants et déroutants. Il se retrouve devant une situation qu’il ne peut fuir : il doit y faire face. Le bloc opératoire est un milieu clos, protégé, un « sanctuaire », de haute technicité. On doit y respecter des règles (éthiques, déontologiques, hygiéniques, organisationnelles, etc.). Alors qu’il est un lieu démythifié pour le personnel, le patient doit maîtriser son appréhension pour l’anesthésie, la chirurgie, ainsi que son angoisse à l’égard de ce lieu où la vie et la mort se côtoient si intimement. </w:t>
      </w:r>
    </w:p>
    <w:p w14:paraId="6C8359E6" w14:textId="77777777" w:rsidR="001E52A5" w:rsidRPr="007933E6" w:rsidRDefault="001E52A5" w:rsidP="001E52A5">
      <w:pPr>
        <w:spacing w:before="100" w:beforeAutospacing="1" w:after="100" w:afterAutospacing="1"/>
        <w:rPr>
          <w:rFonts w:cs="Times New Roman"/>
          <w:lang w:eastAsia="fr-FR"/>
        </w:rPr>
      </w:pPr>
      <w:bookmarkStart w:id="11" w:name="c0006p0015"/>
      <w:bookmarkEnd w:id="11"/>
      <w:r w:rsidRPr="007933E6">
        <w:rPr>
          <w:rFonts w:cs="Times New Roman"/>
          <w:lang w:eastAsia="fr-FR"/>
        </w:rPr>
        <w:t xml:space="preserve">Par ailleurs, le bloc opératoire représente un « rituel ». Il s’agit d’abord d’un rite de séparation (quitter sa chambre, le sas, le brancard, avec un sentiment de peur quasi constant), puis d’un rite de marge (attente plus ou moins longue, et sentiment d’abandon), enfin d’un rite d’agrégation au nouveau monde (serrement de mains, paroles d’accueil, sentiment de sécurité). </w:t>
      </w:r>
    </w:p>
    <w:p w14:paraId="061CB815" w14:textId="77777777" w:rsidR="001E52A5" w:rsidRPr="007933E6" w:rsidRDefault="001E52A5" w:rsidP="001E52A5">
      <w:pPr>
        <w:spacing w:before="100" w:beforeAutospacing="1" w:after="100" w:afterAutospacing="1"/>
        <w:rPr>
          <w:rFonts w:cs="Times New Roman"/>
          <w:b/>
          <w:color w:val="FF0000"/>
          <w:lang w:eastAsia="fr-FR"/>
        </w:rPr>
      </w:pPr>
      <w:bookmarkStart w:id="12" w:name="c0006p0016"/>
      <w:bookmarkEnd w:id="12"/>
      <w:r w:rsidRPr="007933E6">
        <w:rPr>
          <w:rFonts w:cs="Times New Roman"/>
          <w:b/>
          <w:color w:val="FF0000"/>
          <w:lang w:eastAsia="fr-FR"/>
        </w:rPr>
        <w:t>Quels sont les moyens d’évaluation de cette anxiété préopératoire ?</w:t>
      </w:r>
    </w:p>
    <w:p w14:paraId="16CEA3EC" w14:textId="77777777" w:rsidR="001E52A5" w:rsidRPr="007933E6" w:rsidRDefault="001E52A5" w:rsidP="001E52A5">
      <w:pPr>
        <w:spacing w:before="100" w:beforeAutospacing="1" w:after="100" w:afterAutospacing="1"/>
        <w:rPr>
          <w:rFonts w:cs="Times New Roman"/>
          <w:lang w:eastAsia="fr-FR"/>
        </w:rPr>
      </w:pPr>
      <w:bookmarkStart w:id="13" w:name="c0006p0017"/>
      <w:bookmarkEnd w:id="13"/>
      <w:r w:rsidRPr="007933E6">
        <w:rPr>
          <w:rFonts w:cs="Times New Roman"/>
          <w:lang w:eastAsia="fr-FR"/>
        </w:rPr>
        <w:t>L’hétéroévaluation subjective de l’anxiété par les soignants est peu efficiente (chirurgiens et anesthésistes la surcotent) [</w:t>
      </w:r>
      <w:hyperlink r:id="rId14" w:anchor="c0006bib0004" w:history="1">
        <w:r w:rsidRPr="007933E6">
          <w:rPr>
            <w:rFonts w:cs="Times New Roman"/>
            <w:color w:val="0000FF"/>
            <w:u w:val="single"/>
            <w:lang w:eastAsia="fr-FR"/>
          </w:rPr>
          <w:t>4</w:t>
        </w:r>
      </w:hyperlink>
      <w:r w:rsidRPr="007933E6">
        <w:rPr>
          <w:rFonts w:cs="Times New Roman"/>
          <w:lang w:eastAsia="fr-FR"/>
        </w:rPr>
        <w:t>]. Il existe des échelles d’hétéroévaluation, comme, en pédiatrie, le score Modified Yale Preoperative Anxiety Scale, échelle observationnelle qui peut être utilisée avant l’induction anesthésique [</w:t>
      </w:r>
      <w:hyperlink r:id="rId15" w:anchor="c0006bib0005" w:history="1">
        <w:r w:rsidRPr="007933E6">
          <w:rPr>
            <w:rFonts w:cs="Times New Roman"/>
            <w:color w:val="0000FF"/>
            <w:u w:val="single"/>
            <w:lang w:eastAsia="fr-FR"/>
          </w:rPr>
          <w:t>5</w:t>
        </w:r>
      </w:hyperlink>
      <w:r w:rsidRPr="007933E6">
        <w:rPr>
          <w:rFonts w:cs="Times New Roman"/>
          <w:lang w:eastAsia="fr-FR"/>
        </w:rPr>
        <w:t xml:space="preserve">]. </w:t>
      </w:r>
    </w:p>
    <w:p w14:paraId="1073413F" w14:textId="77777777" w:rsidR="001E52A5" w:rsidRPr="007933E6" w:rsidRDefault="001E52A5" w:rsidP="001E52A5">
      <w:pPr>
        <w:spacing w:before="100" w:beforeAutospacing="1" w:after="100" w:afterAutospacing="1"/>
        <w:rPr>
          <w:rFonts w:cs="Times New Roman"/>
          <w:lang w:eastAsia="fr-FR"/>
        </w:rPr>
      </w:pPr>
      <w:bookmarkStart w:id="14" w:name="c0006p0018"/>
      <w:bookmarkEnd w:id="14"/>
      <w:r w:rsidRPr="007933E6">
        <w:rPr>
          <w:rFonts w:cs="Times New Roman"/>
          <w:lang w:eastAsia="fr-FR"/>
        </w:rPr>
        <w:t>L’utilisation d’échelles d’autoévaluation est d’une bonne aide, pour respecter le profil du patient et obtenir une tendance évolutive. L’échelle d’anxiété et d’information d’Amsterdam (Amsterdam Preoperative Anxiety and Information Scale [APAIS]) semble être un outil utile d’évaluation des niveaux d’anxiété préopératoires en association à l’échelle visuelle analogique (EVA) [</w:t>
      </w:r>
      <w:hyperlink r:id="rId16" w:anchor="c0006bib0006" w:history="1">
        <w:r w:rsidRPr="007933E6">
          <w:rPr>
            <w:rFonts w:cs="Times New Roman"/>
            <w:color w:val="0000FF"/>
            <w:u w:val="single"/>
            <w:lang w:eastAsia="fr-FR"/>
          </w:rPr>
          <w:t>6</w:t>
        </w:r>
      </w:hyperlink>
      <w:r w:rsidRPr="007933E6">
        <w:rPr>
          <w:rFonts w:cs="Times New Roman"/>
          <w:lang w:eastAsia="fr-FR"/>
        </w:rPr>
        <w:t xml:space="preserve">]. L’inventaire d’anxiété état et trait de Spielberger (Spielberger State-Trait Anxiety Inventory [STAI]) a aussi été utilisé, mais il est moins </w:t>
      </w:r>
      <w:r w:rsidRPr="007933E6">
        <w:rPr>
          <w:rFonts w:cs="Times New Roman"/>
          <w:lang w:eastAsia="fr-FR"/>
        </w:rPr>
        <w:lastRenderedPageBreak/>
        <w:t>fonctionnel. L’EVA sur réglette est validée dans cette indication [</w:t>
      </w:r>
      <w:hyperlink r:id="rId17" w:anchor="c0006bib0007" w:history="1">
        <w:r w:rsidRPr="007933E6">
          <w:rPr>
            <w:rFonts w:cs="Times New Roman"/>
            <w:color w:val="0000FF"/>
            <w:u w:val="single"/>
            <w:lang w:eastAsia="fr-FR"/>
          </w:rPr>
          <w:t>7</w:t>
        </w:r>
      </w:hyperlink>
      <w:r w:rsidRPr="007933E6">
        <w:rPr>
          <w:rFonts w:cs="Times New Roman"/>
          <w:lang w:eastAsia="fr-FR"/>
        </w:rPr>
        <w:t>]. Des travaux [</w:t>
      </w:r>
      <w:hyperlink r:id="rId18" w:anchor="c0006bib0008" w:history="1">
        <w:r w:rsidRPr="007933E6">
          <w:rPr>
            <w:rFonts w:cs="Times New Roman"/>
            <w:color w:val="0000FF"/>
            <w:u w:val="single"/>
            <w:lang w:eastAsia="fr-FR"/>
          </w:rPr>
          <w:t>8</w:t>
        </w:r>
      </w:hyperlink>
      <w:r w:rsidRPr="007933E6">
        <w:rPr>
          <w:rFonts w:cs="Times New Roman"/>
          <w:lang w:eastAsia="fr-FR"/>
        </w:rPr>
        <w:t>] ont comparé le score STAI, l’EVA et une échelle de référence HAD (Hospital Anxiety and Depression scale, qui différencie l’état dépressif de l’anxiété événement) en montrant une bonne corrélation et une plus grande simplicité de l’EVA. Une valeur d’EVA &gt; 60 mm indique une anxiété inhabituelle qu’il faut prendre en compte.</w:t>
      </w:r>
    </w:p>
    <w:p w14:paraId="309ABD51" w14:textId="77777777" w:rsidR="001E52A5" w:rsidRPr="007933E6" w:rsidRDefault="001E52A5" w:rsidP="001E52A5">
      <w:pPr>
        <w:rPr>
          <w:rFonts w:eastAsia="Times New Roman" w:cs="Times New Roman"/>
          <w:lang w:eastAsia="fr-FR"/>
        </w:rPr>
      </w:pPr>
      <w:bookmarkStart w:id="15" w:name="c0006s0003"/>
      <w:bookmarkEnd w:id="15"/>
      <w:r w:rsidRPr="007933E6">
        <w:rPr>
          <w:rFonts w:eastAsia="Times New Roman" w:cs="Times New Roman"/>
          <w:lang w:eastAsia="fr-FR"/>
        </w:rPr>
        <w:t>L’accueil du patient peut-il être un facteur de diminution de l’anxiété ?</w:t>
      </w:r>
    </w:p>
    <w:p w14:paraId="3B5DA571" w14:textId="77777777" w:rsidR="001E52A5" w:rsidRPr="007933E6" w:rsidRDefault="001E52A5" w:rsidP="001E52A5">
      <w:pPr>
        <w:spacing w:before="100" w:beforeAutospacing="1" w:after="100" w:afterAutospacing="1"/>
        <w:rPr>
          <w:rFonts w:cs="Times New Roman"/>
          <w:lang w:eastAsia="fr-FR"/>
        </w:rPr>
      </w:pPr>
      <w:bookmarkStart w:id="16" w:name="c0006p0019"/>
      <w:bookmarkEnd w:id="16"/>
      <w:r w:rsidRPr="007933E6">
        <w:rPr>
          <w:rFonts w:cs="Times New Roman"/>
          <w:lang w:eastAsia="fr-FR"/>
        </w:rPr>
        <w:t>L’accueil est un droit du patient et un devoir du soignant en respectant les besoins fondamentaux de l’opéré (loi n° 2002-303 du 4 mars 2002 relative aux droits des malades et à la qualité du système de santé : « la personne hospitalisée est traitée avec égards. Ses croyances sont respectées. Son intimité doit être respectée ainsi que sa tranquillité »).</w:t>
      </w:r>
    </w:p>
    <w:p w14:paraId="12A0B1CD" w14:textId="77777777" w:rsidR="001E52A5" w:rsidRPr="007933E6" w:rsidRDefault="001E52A5" w:rsidP="001E52A5">
      <w:pPr>
        <w:spacing w:before="100" w:beforeAutospacing="1" w:after="100" w:afterAutospacing="1"/>
        <w:rPr>
          <w:rFonts w:cs="Times New Roman"/>
          <w:lang w:eastAsia="fr-FR"/>
        </w:rPr>
      </w:pPr>
      <w:bookmarkStart w:id="17" w:name="c0006p0020"/>
      <w:bookmarkEnd w:id="17"/>
      <w:r w:rsidRPr="007933E6">
        <w:rPr>
          <w:rFonts w:cs="Times New Roman"/>
          <w:lang w:eastAsia="fr-FR"/>
        </w:rPr>
        <w:t xml:space="preserve">L’accueil correspond à un besoin d’intégration et d’adaptation d’un individu dans la structure, qui s’apparente à de l’accompagnement. L’accueil exige la prise de conscience de ce besoin par l’individu, un groupe, une structure. Il doit exister une démarche du groupe, de la structure vers l’individu. </w:t>
      </w:r>
    </w:p>
    <w:p w14:paraId="39D1BF78" w14:textId="77777777" w:rsidR="001E52A5" w:rsidRPr="007933E6" w:rsidRDefault="001E52A5" w:rsidP="001E52A5">
      <w:pPr>
        <w:spacing w:before="100" w:beforeAutospacing="1" w:after="100" w:afterAutospacing="1"/>
        <w:rPr>
          <w:rFonts w:cs="Times New Roman"/>
          <w:lang w:eastAsia="fr-FR"/>
        </w:rPr>
      </w:pPr>
      <w:bookmarkStart w:id="18" w:name="c0006p0021"/>
      <w:bookmarkEnd w:id="18"/>
      <w:r w:rsidRPr="007933E6">
        <w:rPr>
          <w:rFonts w:cs="Times New Roman"/>
          <w:lang w:eastAsia="fr-FR"/>
        </w:rPr>
        <w:t>Le lieu de l’accueil est le sas d’entrée du bloc. Il est primordial de ménager un temps et un lieu avant de rentrer en salle d’opération pour permettre au patient d’exorciser ses craintes, de verbaliser. Le futur opéré ne doit pas avoir l’impression d’être stocké, ni celle de passer à la chaîne. Ce temps s’intègre à un programme opératoire. Il s’agit d’un lieu où toute stimulation peut générer un stress source d’anxiété : stimulations visuelles (lumière ambiante, scialytique, décor), auditives (langage, conversations du personnel parfois mal adaptées, bruit des instruments, déballage des matériels, alarmes diverses, bips), kinesthésiques (température, inconfort d’installation, manipulation).</w:t>
      </w:r>
    </w:p>
    <w:p w14:paraId="3EAB28B3" w14:textId="77777777" w:rsidR="001E52A5" w:rsidRPr="007933E6" w:rsidRDefault="001E52A5" w:rsidP="001E52A5">
      <w:pPr>
        <w:spacing w:before="100" w:beforeAutospacing="1" w:after="100" w:afterAutospacing="1"/>
        <w:rPr>
          <w:rFonts w:cs="Times New Roman"/>
          <w:b/>
          <w:color w:val="FF0000"/>
          <w:lang w:eastAsia="fr-FR"/>
        </w:rPr>
      </w:pPr>
      <w:bookmarkStart w:id="19" w:name="c0006p0022"/>
      <w:bookmarkEnd w:id="19"/>
      <w:r w:rsidRPr="007933E6">
        <w:rPr>
          <w:rFonts w:cs="Times New Roman"/>
          <w:b/>
          <w:color w:val="FF0000"/>
          <w:lang w:eastAsia="fr-FR"/>
        </w:rPr>
        <w:t>L’accueil se limite-t-il à la communication ?</w:t>
      </w:r>
    </w:p>
    <w:p w14:paraId="47452728" w14:textId="77777777" w:rsidR="001E52A5" w:rsidRPr="007933E6" w:rsidRDefault="001E52A5" w:rsidP="001E52A5">
      <w:pPr>
        <w:spacing w:before="100" w:beforeAutospacing="1" w:after="100" w:afterAutospacing="1"/>
        <w:rPr>
          <w:rFonts w:cs="Times New Roman"/>
          <w:lang w:eastAsia="fr-FR"/>
        </w:rPr>
      </w:pPr>
      <w:r w:rsidRPr="007933E6">
        <w:rPr>
          <w:rFonts w:cs="Times New Roman"/>
          <w:lang w:eastAsia="fr-FR"/>
        </w:rPr>
        <w:t xml:space="preserve">La communication est un moyen de transmettre, d’échanger, d’établir une relation avec autrui. </w:t>
      </w:r>
    </w:p>
    <w:p w14:paraId="42FBF1FD" w14:textId="77777777" w:rsidR="001E52A5" w:rsidRPr="007933E6" w:rsidRDefault="001E52A5" w:rsidP="001E52A5">
      <w:pPr>
        <w:spacing w:before="100" w:beforeAutospacing="1" w:after="100" w:afterAutospacing="1"/>
        <w:rPr>
          <w:rFonts w:cs="Times New Roman"/>
          <w:lang w:eastAsia="fr-FR"/>
        </w:rPr>
      </w:pPr>
      <w:bookmarkStart w:id="20" w:name="c0006p0023"/>
      <w:bookmarkEnd w:id="20"/>
      <w:r w:rsidRPr="007933E6">
        <w:rPr>
          <w:rFonts w:cs="Times New Roman"/>
          <w:lang w:eastAsia="fr-FR"/>
        </w:rPr>
        <w:t>La communication se manifeste par deux mécanismes : verbal (locuteur et récepteur, faits, opinions et sentiments) et non verbal (attitude, expression du visage, postures, gestes, bruits divers).</w:t>
      </w:r>
    </w:p>
    <w:p w14:paraId="567F4330" w14:textId="77777777" w:rsidR="001E52A5" w:rsidRPr="007933E6" w:rsidRDefault="001E52A5" w:rsidP="001E52A5">
      <w:pPr>
        <w:spacing w:before="100" w:beforeAutospacing="1" w:after="100" w:afterAutospacing="1"/>
        <w:rPr>
          <w:rFonts w:cs="Times New Roman"/>
          <w:lang w:eastAsia="fr-FR"/>
        </w:rPr>
      </w:pPr>
      <w:bookmarkStart w:id="21" w:name="c0006p0024"/>
      <w:bookmarkEnd w:id="21"/>
      <w:r w:rsidRPr="007933E6">
        <w:rPr>
          <w:rFonts w:cs="Times New Roman"/>
          <w:lang w:eastAsia="fr-FR"/>
        </w:rPr>
        <w:t xml:space="preserve">Chez le patient chirurgical, au bloc, le temps n’est plus à l’information médicolégale, mais plus de l’ordre d’une relation d’aide avec le personnel soignant (empathie, attitude compréhensive sans jugement, s’immerger dans le monde subjectif d’autrui). Il faut mettre en confiance pour dédramatiser, diminuer le stress, rassurer grâce à l’écoute et à l’adaptabilité. </w:t>
      </w:r>
    </w:p>
    <w:p w14:paraId="6B415ED4" w14:textId="77777777" w:rsidR="001E52A5" w:rsidRPr="007933E6" w:rsidRDefault="001E52A5" w:rsidP="001E52A5">
      <w:pPr>
        <w:spacing w:before="100" w:beforeAutospacing="1" w:after="100" w:afterAutospacing="1"/>
        <w:rPr>
          <w:rFonts w:cs="Times New Roman"/>
          <w:lang w:eastAsia="fr-FR"/>
        </w:rPr>
      </w:pPr>
      <w:bookmarkStart w:id="22" w:name="c0006p0025"/>
      <w:bookmarkEnd w:id="22"/>
      <w:r w:rsidRPr="007933E6">
        <w:rPr>
          <w:rFonts w:cs="Times New Roman"/>
          <w:lang w:eastAsia="fr-FR"/>
        </w:rPr>
        <w:t xml:space="preserve">Malgré tout, l’information pratique et globale sur le déroulement des actes (chirurgical et anesthésique) est un élément important de la phase préopératoire. Elle doit être dispensée en aval du sas d’accueil du bloc au cours des consultations chirurgicale et anesthésique, et de la visite préanesthésique (déroulement, différentes options, participation du patient au choix, traitement de la douleur, et consentement éclairé). Il faut intégrer au discours la typologie du patient.L’anxiété est à son plus haut degré lors </w:t>
      </w:r>
      <w:r w:rsidRPr="007933E6">
        <w:rPr>
          <w:rFonts w:cs="Times New Roman"/>
          <w:lang w:eastAsia="fr-FR"/>
        </w:rPr>
        <w:lastRenderedPageBreak/>
        <w:t>de l’hospitalisation. Il faut ainsi se poser la question : accueil au bloc ou accueil à l’hôpital ? Si l’anxiété paraît majeure à l’entrée dans l’institution, elle diminue par la suite grâce aux moyens spécifiques mis en Å“uvre (accueil, anxiolyse par voie orale, musique sur écouteurs pendant chirurgie sous anesthésie locale) [</w:t>
      </w:r>
      <w:hyperlink r:id="rId19" w:anchor="c0006bib0009" w:history="1">
        <w:r w:rsidRPr="007933E6">
          <w:rPr>
            <w:rFonts w:cs="Times New Roman"/>
            <w:color w:val="0000FF"/>
            <w:u w:val="single"/>
            <w:lang w:eastAsia="fr-FR"/>
          </w:rPr>
          <w:t>9</w:t>
        </w:r>
      </w:hyperlink>
      <w:r w:rsidRPr="007933E6">
        <w:rPr>
          <w:rFonts w:cs="Times New Roman"/>
          <w:lang w:eastAsia="fr-FR"/>
        </w:rPr>
        <w:t>]. Toutes chirurgies confondues, un tiers des patients estiment ne pas avoir été suffisamment informés (pas d’information pratique, réponses aux seules questions posées). Malgré l’information, l’anxiété peut persister et de manière importante, sans lien direct avec le type et la gravité de la chirurgie. L’accueil doit donc être personnalisé [</w:t>
      </w:r>
      <w:hyperlink r:id="rId20" w:anchor="c0006bib0010" w:history="1">
        <w:r w:rsidRPr="007933E6">
          <w:rPr>
            <w:rFonts w:cs="Times New Roman"/>
            <w:color w:val="0000FF"/>
            <w:u w:val="single"/>
            <w:lang w:eastAsia="fr-FR"/>
          </w:rPr>
          <w:t>10</w:t>
        </w:r>
      </w:hyperlink>
      <w:r w:rsidRPr="007933E6">
        <w:rPr>
          <w:rFonts w:cs="Times New Roman"/>
          <w:lang w:eastAsia="fr-FR"/>
        </w:rPr>
        <w:t>].</w:t>
      </w:r>
    </w:p>
    <w:p w14:paraId="45DFD56A" w14:textId="77777777" w:rsidR="001E52A5" w:rsidRPr="007933E6" w:rsidRDefault="001E52A5" w:rsidP="001E52A5">
      <w:pPr>
        <w:spacing w:before="100" w:beforeAutospacing="1" w:after="100" w:afterAutospacing="1"/>
        <w:rPr>
          <w:rFonts w:cs="Times New Roman"/>
          <w:lang w:eastAsia="fr-FR"/>
        </w:rPr>
      </w:pPr>
      <w:bookmarkStart w:id="23" w:name="c0006p0026"/>
      <w:bookmarkEnd w:id="23"/>
      <w:r w:rsidRPr="007933E6">
        <w:rPr>
          <w:rFonts w:cs="Times New Roman"/>
          <w:lang w:eastAsia="fr-FR"/>
        </w:rPr>
        <w:t>La communication non verbale, qui représente 70 % des messages que l’on transmet et que l’on reçoit, se fait en toute inconscience : froncer les sourcils est une manifestation de colère, de concentration, de déplaisir ou de réflexion, alors que les exigences en termes de qualité et d’hygiène imposent un équipement qui ne laisse apparaître que le regard (personnel masqué, anonyme, cagoulé).</w:t>
      </w:r>
    </w:p>
    <w:p w14:paraId="370B1AA6" w14:textId="77777777" w:rsidR="001E52A5" w:rsidRPr="007933E6" w:rsidRDefault="001E52A5" w:rsidP="001E52A5">
      <w:pPr>
        <w:spacing w:before="100" w:beforeAutospacing="1" w:after="100" w:afterAutospacing="1"/>
        <w:rPr>
          <w:rFonts w:cs="Times New Roman"/>
          <w:lang w:eastAsia="fr-FR"/>
        </w:rPr>
      </w:pPr>
      <w:bookmarkStart w:id="24" w:name="c0006p0027"/>
      <w:bookmarkEnd w:id="24"/>
      <w:r w:rsidRPr="007933E6">
        <w:rPr>
          <w:rFonts w:cs="Times New Roman"/>
          <w:lang w:eastAsia="fr-FR"/>
        </w:rPr>
        <w:t>Le sens du toucher varie selon les individus et leurs vécus. Il faut utiliser le toucher avec prudence et de manière progressive, car il implique une ingérence dans la distance intime. Au travers du tonus, des gestes, des contacts corporels, un grand nombre de messages s’échangent, permettant de construire une impression de l’autre.</w:t>
      </w:r>
    </w:p>
    <w:p w14:paraId="400A35A9" w14:textId="77777777" w:rsidR="001E52A5" w:rsidRPr="007933E6" w:rsidRDefault="001E52A5" w:rsidP="001E52A5">
      <w:pPr>
        <w:spacing w:before="100" w:beforeAutospacing="1" w:after="100" w:afterAutospacing="1"/>
        <w:rPr>
          <w:rFonts w:cs="Times New Roman"/>
          <w:lang w:eastAsia="fr-FR"/>
        </w:rPr>
      </w:pPr>
      <w:bookmarkStart w:id="25" w:name="c0006p0028"/>
      <w:bookmarkEnd w:id="25"/>
      <w:r w:rsidRPr="007933E6">
        <w:rPr>
          <w:rFonts w:cs="Times New Roman"/>
          <w:lang w:eastAsia="fr-FR"/>
        </w:rPr>
        <w:t>Respect et politesse passent par le simple fait de dire « bonjour ». Il s’agit aussi de faire attention à préserver la pudeur (agression psychologique au travers de la nudité que l’on impose au malade), l’intimité, le bien-être.</w:t>
      </w:r>
    </w:p>
    <w:p w14:paraId="62B968B0" w14:textId="77777777" w:rsidR="001E52A5" w:rsidRPr="007933E6" w:rsidRDefault="001E52A5" w:rsidP="001E52A5">
      <w:pPr>
        <w:rPr>
          <w:rFonts w:eastAsia="Times New Roman" w:cs="Times New Roman"/>
          <w:b/>
          <w:color w:val="FF0000"/>
          <w:lang w:eastAsia="fr-FR"/>
        </w:rPr>
      </w:pPr>
      <w:bookmarkStart w:id="26" w:name="c0006s0004"/>
      <w:bookmarkEnd w:id="26"/>
      <w:r w:rsidRPr="007933E6">
        <w:rPr>
          <w:rFonts w:eastAsia="Times New Roman" w:cs="Times New Roman"/>
          <w:b/>
          <w:color w:val="FF0000"/>
          <w:lang w:eastAsia="fr-FR"/>
        </w:rPr>
        <w:t>Comment répondre à l’anxiété pour la diminuer ?</w:t>
      </w:r>
    </w:p>
    <w:p w14:paraId="7DF20F09" w14:textId="77777777" w:rsidR="001E52A5" w:rsidRPr="007933E6" w:rsidRDefault="001E52A5" w:rsidP="001E52A5">
      <w:pPr>
        <w:spacing w:before="100" w:beforeAutospacing="1" w:after="100" w:afterAutospacing="1"/>
        <w:rPr>
          <w:rFonts w:cs="Times New Roman"/>
          <w:lang w:eastAsia="fr-FR"/>
        </w:rPr>
      </w:pPr>
      <w:bookmarkStart w:id="27" w:name="c0006p0029"/>
      <w:bookmarkEnd w:id="27"/>
      <w:r w:rsidRPr="007933E6">
        <w:rPr>
          <w:rFonts w:cs="Times New Roman"/>
          <w:lang w:eastAsia="fr-FR"/>
        </w:rPr>
        <w:t xml:space="preserve">La réduction de l’anxiété au bloc opératoire s’inscrit dans une démarche qualité d’amélioration des pratiques professionnelles. On peut ainsi utiliser le principe de la roue de Deming, ou modèle PDCA) : </w:t>
      </w:r>
      <w:r w:rsidRPr="007933E6">
        <w:rPr>
          <w:rFonts w:cs="Times New Roman"/>
          <w:i/>
          <w:iCs/>
          <w:lang w:eastAsia="fr-FR"/>
        </w:rPr>
        <w:t>plan, do, check, act </w:t>
      </w:r>
      <w:r w:rsidRPr="007933E6">
        <w:rPr>
          <w:rFonts w:cs="Times New Roman"/>
          <w:lang w:eastAsia="fr-FR"/>
        </w:rPr>
        <w:t>; planifier, faire, analyser et améliorer. Un groupe de travail multiprofessionnel, motivé et réduit doit être créé (infirmières anesthésistes diplômées d’État [IADE], infirmières de bloc opératoire diplômées d’État [IBODE], anesthésistes et chirurgiens), avec des conseils ponctuels d’intervenants extérieurs (psychologue, aromathérapeute, musicothérapeute, etc.).</w:t>
      </w:r>
    </w:p>
    <w:p w14:paraId="4A37CA13" w14:textId="77777777" w:rsidR="001E52A5" w:rsidRPr="007933E6" w:rsidRDefault="001E52A5" w:rsidP="001E52A5">
      <w:pPr>
        <w:spacing w:before="100" w:beforeAutospacing="1" w:after="100" w:afterAutospacing="1"/>
        <w:rPr>
          <w:rFonts w:cs="Times New Roman"/>
          <w:lang w:eastAsia="fr-FR"/>
        </w:rPr>
      </w:pPr>
      <w:bookmarkStart w:id="28" w:name="c0006p0030"/>
      <w:bookmarkEnd w:id="28"/>
      <w:r w:rsidRPr="007933E6">
        <w:rPr>
          <w:rFonts w:cs="Times New Roman"/>
          <w:lang w:eastAsia="fr-FR"/>
        </w:rPr>
        <w:t xml:space="preserve">Ainsi, la priorité est à l’analyse du vécu du patient. Cela nécessite une évaluation objective de l’anxiété, des situations anxiogènes et des événements aggravants. Enfin, il est nécessaire d’analyser le processus « bloc opératoire » dans son ensemble : phase préopératoire, information, transfert, accueil. </w:t>
      </w:r>
    </w:p>
    <w:p w14:paraId="595013D7" w14:textId="77777777" w:rsidR="001E52A5" w:rsidRPr="007933E6" w:rsidRDefault="001E52A5" w:rsidP="001E52A5">
      <w:pPr>
        <w:spacing w:before="100" w:beforeAutospacing="1" w:after="100" w:afterAutospacing="1"/>
        <w:rPr>
          <w:rFonts w:cs="Times New Roman"/>
          <w:b/>
          <w:color w:val="FF0000"/>
          <w:lang w:eastAsia="fr-FR"/>
        </w:rPr>
      </w:pPr>
      <w:bookmarkStart w:id="29" w:name="c0006p0031"/>
      <w:bookmarkEnd w:id="29"/>
      <w:r w:rsidRPr="007933E6">
        <w:rPr>
          <w:rFonts w:cs="Times New Roman"/>
          <w:b/>
          <w:color w:val="FF0000"/>
          <w:lang w:eastAsia="fr-FR"/>
        </w:rPr>
        <w:t>Dès lors, des mesures d’amélioration peuvent être instituées.</w:t>
      </w:r>
    </w:p>
    <w:p w14:paraId="7016103F" w14:textId="77777777" w:rsidR="001E52A5" w:rsidRPr="007933E6" w:rsidRDefault="001E52A5" w:rsidP="001E52A5">
      <w:pPr>
        <w:numPr>
          <w:ilvl w:val="0"/>
          <w:numId w:val="1"/>
        </w:numPr>
        <w:spacing w:before="100" w:beforeAutospacing="1" w:after="100" w:afterAutospacing="1"/>
        <w:rPr>
          <w:rFonts w:eastAsia="Times New Roman" w:cs="Times New Roman"/>
          <w:lang w:eastAsia="fr-FR"/>
        </w:rPr>
      </w:pPr>
      <w:r w:rsidRPr="007933E6">
        <w:rPr>
          <w:rFonts w:eastAsia="Times New Roman" w:cs="Times New Roman"/>
          <w:lang w:eastAsia="fr-FR"/>
        </w:rPr>
        <w:t>L’</w:t>
      </w:r>
      <w:r w:rsidRPr="007933E6">
        <w:rPr>
          <w:rFonts w:eastAsia="Times New Roman" w:cs="Times New Roman"/>
          <w:i/>
          <w:iCs/>
          <w:lang w:eastAsia="fr-FR"/>
        </w:rPr>
        <w:t>information</w:t>
      </w:r>
      <w:r w:rsidRPr="007933E6">
        <w:rPr>
          <w:rFonts w:eastAsia="Times New Roman" w:cs="Times New Roman"/>
          <w:lang w:eastAsia="fr-FR"/>
        </w:rPr>
        <w:t> : améliorer l’information des patients sur le rôle de chacun au bloc. Cette information est réalisée à divers moments de la prise en charge, de la consultation à l’hospitalisation [</w:t>
      </w:r>
      <w:hyperlink r:id="rId21" w:anchor="c0006bib0011" w:history="1">
        <w:r w:rsidRPr="007933E6">
          <w:rPr>
            <w:rFonts w:eastAsia="Times New Roman" w:cs="Times New Roman"/>
            <w:color w:val="0000FF"/>
            <w:u w:val="single"/>
            <w:lang w:eastAsia="fr-FR"/>
          </w:rPr>
          <w:t>11</w:t>
        </w:r>
      </w:hyperlink>
      <w:r w:rsidRPr="007933E6">
        <w:rPr>
          <w:rFonts w:eastAsia="Times New Roman" w:cs="Times New Roman"/>
          <w:lang w:eastAsia="fr-FR"/>
        </w:rPr>
        <w:t>]. On peut développer la visite « préopératoire paramédicale » ; améliorer l’utilisation des moyens de communication (brochure d’informations, blog, film du déroulement d’une journée sur chaîne de télévision dédiée, photothèque, etc.) ; rendre aptes les personnels des services chirurgicaux à répondre aux questions pratiques des patients (stage de découverte du bloc).</w:t>
      </w:r>
    </w:p>
    <w:p w14:paraId="197A255E" w14:textId="77777777" w:rsidR="001E52A5" w:rsidRPr="007933E6" w:rsidRDefault="001E52A5" w:rsidP="001E52A5">
      <w:pPr>
        <w:numPr>
          <w:ilvl w:val="0"/>
          <w:numId w:val="1"/>
        </w:numPr>
        <w:spacing w:before="100" w:beforeAutospacing="1" w:after="100" w:afterAutospacing="1"/>
        <w:rPr>
          <w:rFonts w:eastAsia="Times New Roman" w:cs="Times New Roman"/>
          <w:lang w:eastAsia="fr-FR"/>
        </w:rPr>
      </w:pPr>
      <w:r w:rsidRPr="007933E6">
        <w:rPr>
          <w:rFonts w:eastAsia="Times New Roman" w:cs="Times New Roman"/>
          <w:lang w:eastAsia="fr-FR"/>
        </w:rPr>
        <w:lastRenderedPageBreak/>
        <w:t>L’</w:t>
      </w:r>
      <w:r w:rsidRPr="007933E6">
        <w:rPr>
          <w:rFonts w:eastAsia="Times New Roman" w:cs="Times New Roman"/>
          <w:i/>
          <w:iCs/>
          <w:lang w:eastAsia="fr-FR"/>
        </w:rPr>
        <w:t>accueildu patient</w:t>
      </w:r>
      <w:r w:rsidRPr="007933E6">
        <w:rPr>
          <w:rFonts w:eastAsia="Times New Roman" w:cs="Times New Roman"/>
          <w:lang w:eastAsia="fr-FR"/>
        </w:rPr>
        <w:t xml:space="preserve"> doit se faire en binôme IADE/IBODE avec identification des soignants (badge de fonction). La personnalisation de l’accueil nécessite un état d’esprit, une compréhension des objectifs poursuivis, une remise en question régulière sur les comportements relatifs à l’accueil (aspect relationnel et pas seulement technique du soin au bloc). Il faut lutter contre le fait que l’anesthésiste soit sur plusieurs salles, n’arrivant que pour le geste technique de l’induction, ou le chirurgien n’arrivant qu’une fois le patient anesthésié. </w:t>
      </w:r>
    </w:p>
    <w:p w14:paraId="7DF850F3" w14:textId="77777777" w:rsidR="001E52A5" w:rsidRPr="007933E6" w:rsidRDefault="001E52A5" w:rsidP="001E52A5">
      <w:pPr>
        <w:numPr>
          <w:ilvl w:val="0"/>
          <w:numId w:val="1"/>
        </w:numPr>
        <w:spacing w:before="100" w:beforeAutospacing="1" w:after="100" w:afterAutospacing="1"/>
        <w:rPr>
          <w:rFonts w:eastAsia="Times New Roman" w:cs="Times New Roman"/>
          <w:lang w:eastAsia="fr-FR"/>
        </w:rPr>
      </w:pPr>
      <w:r w:rsidRPr="007933E6">
        <w:rPr>
          <w:rFonts w:eastAsia="Times New Roman" w:cs="Times New Roman"/>
          <w:lang w:eastAsia="fr-FR"/>
        </w:rPr>
        <w:t xml:space="preserve">La </w:t>
      </w:r>
      <w:r w:rsidRPr="007933E6">
        <w:rPr>
          <w:rFonts w:eastAsia="Times New Roman" w:cs="Times New Roman"/>
          <w:i/>
          <w:iCs/>
          <w:lang w:eastAsia="fr-FR"/>
        </w:rPr>
        <w:t>prémédication</w:t>
      </w:r>
      <w:r w:rsidRPr="007933E6">
        <w:rPr>
          <w:rFonts w:eastAsia="Times New Roman" w:cs="Times New Roman"/>
          <w:lang w:eastAsia="fr-FR"/>
        </w:rPr>
        <w:t>, adaptée au patient et à l’acte, a pour objectif le confort du patient : anxiolyse, amnésie, analgésie/sédation, analgésie préventive, prévention des nausées et vomissements. Il faut limiter le jeûne. En France, les techniques de relaxation (sophrologie, hypnose) restent peu utilisées.</w:t>
      </w:r>
    </w:p>
    <w:p w14:paraId="3A467742" w14:textId="77777777" w:rsidR="001E52A5" w:rsidRPr="007933E6" w:rsidRDefault="001E52A5" w:rsidP="001E52A5">
      <w:pPr>
        <w:numPr>
          <w:ilvl w:val="0"/>
          <w:numId w:val="1"/>
        </w:numPr>
        <w:spacing w:before="100" w:beforeAutospacing="1" w:after="100" w:afterAutospacing="1"/>
        <w:rPr>
          <w:rFonts w:eastAsia="Times New Roman" w:cs="Times New Roman"/>
          <w:lang w:eastAsia="fr-FR"/>
        </w:rPr>
      </w:pPr>
      <w:r w:rsidRPr="007933E6">
        <w:rPr>
          <w:rFonts w:eastAsia="Times New Roman" w:cs="Times New Roman"/>
          <w:lang w:eastAsia="fr-FR"/>
        </w:rPr>
        <w:t>En ce qui concerne l’</w:t>
      </w:r>
      <w:r w:rsidRPr="007933E6">
        <w:rPr>
          <w:rFonts w:eastAsia="Times New Roman" w:cs="Times New Roman"/>
          <w:i/>
          <w:iCs/>
          <w:lang w:eastAsia="fr-FR"/>
        </w:rPr>
        <w:t>organisationde l’activité au bloc</w:t>
      </w:r>
      <w:r w:rsidRPr="007933E6">
        <w:rPr>
          <w:rFonts w:eastAsia="Times New Roman" w:cs="Times New Roman"/>
          <w:lang w:eastAsia="fr-FR"/>
        </w:rPr>
        <w:t>, il faut maîtriser les dysfonctionnements organisationnels. Au niveau du sas d’accueil, le patient éprouve une sensation d’isolement et un temps d’attente excessif (par un appel trop précoce). Ce sas, lieu de passage, est souvent inadapté et austère, encombré de matériel médicochirurgical stocké. La salle de surveillance postinterventionnelle (SSPI) n’est plus utilisée uniquement pour la surveillance postinterventionnelle des opérés ; elle est aussi une salle de mise en condition avant la chirurgie en urgence, une salle de réalisation des anesthésies locorégionales (ALR), un plateau technique pour différents actes (voie veineuse centrale, sismothérapie, cardioversion, hémodilution, blood-patch, etc.). Ainsi, la promiscuité des différentes catégories de patients est génératrice d’anxiété, et pose des problèmes de respect de la pudeur et de la confidentialité. Cet aléa peut être amoindri par l’utilisation de rideaux séparateurs, permettant une sectorisation technique [</w:t>
      </w:r>
      <w:hyperlink r:id="rId22" w:anchor="c0006bib0012" w:history="1">
        <w:r w:rsidRPr="007933E6">
          <w:rPr>
            <w:rFonts w:eastAsia="Times New Roman" w:cs="Times New Roman"/>
            <w:color w:val="0000FF"/>
            <w:u w:val="single"/>
            <w:lang w:eastAsia="fr-FR"/>
          </w:rPr>
          <w:t>12</w:t>
        </w:r>
      </w:hyperlink>
      <w:r w:rsidRPr="007933E6">
        <w:rPr>
          <w:rFonts w:eastAsia="Times New Roman" w:cs="Times New Roman"/>
          <w:lang w:eastAsia="fr-FR"/>
        </w:rPr>
        <w:t>].</w:t>
      </w:r>
    </w:p>
    <w:p w14:paraId="3C59F7EB" w14:textId="77777777" w:rsidR="001E52A5" w:rsidRPr="007933E6" w:rsidRDefault="001E52A5" w:rsidP="001E52A5">
      <w:pPr>
        <w:numPr>
          <w:ilvl w:val="0"/>
          <w:numId w:val="1"/>
        </w:numPr>
        <w:spacing w:before="100" w:beforeAutospacing="1" w:after="100" w:afterAutospacing="1"/>
        <w:rPr>
          <w:rFonts w:eastAsia="Times New Roman" w:cs="Times New Roman"/>
          <w:lang w:eastAsia="fr-FR"/>
        </w:rPr>
      </w:pPr>
      <w:r w:rsidRPr="007933E6">
        <w:rPr>
          <w:rFonts w:eastAsia="Times New Roman" w:cs="Times New Roman"/>
          <w:i/>
          <w:iCs/>
          <w:lang w:eastAsia="fr-FR"/>
        </w:rPr>
        <w:t>Lutte contre l’inconfort et amélioration du bien-être</w:t>
      </w:r>
      <w:r w:rsidRPr="007933E6">
        <w:rPr>
          <w:rFonts w:eastAsia="Times New Roman" w:cs="Times New Roman"/>
          <w:lang w:eastAsia="fr-FR"/>
        </w:rPr>
        <w:t>. La sensation de froid est souvent une source de plainte par le patient à toutes les étapes de sa prise en charge. Il est nécessaire d’améliorer le réchauffement du patient dès la chambre d’hospitalisation (système de réchauffement autocontrôlé par le patient type Bair Paws</w:t>
      </w:r>
      <w:r w:rsidRPr="007933E6">
        <w:rPr>
          <w:rFonts w:eastAsia="Times New Roman" w:cs="Times New Roman"/>
          <w:vertAlign w:val="superscript"/>
          <w:lang w:eastAsia="fr-FR"/>
        </w:rPr>
        <w:t>®</w:t>
      </w:r>
      <w:r w:rsidRPr="007933E6">
        <w:rPr>
          <w:rFonts w:eastAsia="Times New Roman" w:cs="Times New Roman"/>
          <w:lang w:eastAsia="fr-FR"/>
        </w:rPr>
        <w:t>, couvertures pour le transfert, réchauffement des tables opératoires, gestion de la température des salles).</w:t>
      </w:r>
    </w:p>
    <w:p w14:paraId="6288BD26" w14:textId="77777777" w:rsidR="001E52A5" w:rsidRPr="007933E6" w:rsidRDefault="001E52A5" w:rsidP="001E52A5">
      <w:pPr>
        <w:spacing w:before="100" w:beforeAutospacing="1" w:after="100" w:afterAutospacing="1"/>
        <w:rPr>
          <w:rFonts w:cs="Times New Roman"/>
          <w:lang w:eastAsia="fr-FR"/>
        </w:rPr>
      </w:pPr>
      <w:bookmarkStart w:id="30" w:name="c0006p0037"/>
      <w:bookmarkEnd w:id="30"/>
      <w:r w:rsidRPr="007933E6">
        <w:rPr>
          <w:rFonts w:cs="Times New Roman"/>
          <w:lang w:eastAsia="fr-FR"/>
        </w:rPr>
        <w:t>L’utilisation de l’aromathérapie au niveau du sas d’accueil et de la SSPI par diffusion d’huiles essentielles (lavande et agrumes associés) aurait des vertus relaxantes, déstressantes et antibactériennes [</w:t>
      </w:r>
      <w:hyperlink r:id="rId23" w:anchor="c0006bib0013" w:history="1">
        <w:r w:rsidRPr="007933E6">
          <w:rPr>
            <w:rFonts w:cs="Times New Roman"/>
            <w:color w:val="0000FF"/>
            <w:u w:val="single"/>
            <w:lang w:eastAsia="fr-FR"/>
          </w:rPr>
          <w:t>13</w:t>
        </w:r>
      </w:hyperlink>
      <w:r w:rsidRPr="007933E6">
        <w:rPr>
          <w:rFonts w:cs="Times New Roman"/>
          <w:lang w:eastAsia="fr-FR"/>
        </w:rPr>
        <w:t>].</w:t>
      </w:r>
    </w:p>
    <w:p w14:paraId="32CD3F49" w14:textId="77777777" w:rsidR="001E52A5" w:rsidRPr="007933E6" w:rsidRDefault="001E52A5" w:rsidP="001E52A5">
      <w:pPr>
        <w:spacing w:before="100" w:beforeAutospacing="1" w:after="100" w:afterAutospacing="1"/>
        <w:rPr>
          <w:rFonts w:cs="Times New Roman"/>
          <w:lang w:eastAsia="fr-FR"/>
        </w:rPr>
      </w:pPr>
      <w:bookmarkStart w:id="31" w:name="c0006p0038"/>
      <w:bookmarkEnd w:id="31"/>
      <w:r w:rsidRPr="007933E6">
        <w:rPr>
          <w:rFonts w:cs="Times New Roman"/>
          <w:lang w:eastAsia="fr-FR"/>
        </w:rPr>
        <w:t>La vision est le sens le plus fréquemment stimulé durant cette période. La lumière régule le rythme de la journée. L’être humain est étroitement conditionné par son environnement lumineux ; celui-ci a un impact très important sur son bien-être et ses émotions. Il faut réduire les agressions lumineuses [</w:t>
      </w:r>
      <w:hyperlink r:id="rId24" w:anchor="c0006bib0014" w:history="1">
        <w:r w:rsidRPr="007933E6">
          <w:rPr>
            <w:rFonts w:cs="Times New Roman"/>
            <w:color w:val="0000FF"/>
            <w:u w:val="single"/>
            <w:lang w:eastAsia="fr-FR"/>
          </w:rPr>
          <w:t>14</w:t>
        </w:r>
      </w:hyperlink>
      <w:r w:rsidRPr="007933E6">
        <w:rPr>
          <w:rFonts w:cs="Times New Roman"/>
          <w:lang w:eastAsia="fr-FR"/>
        </w:rPr>
        <w:t>]. L’éclairage constitue un moyen de transformer un environnement « austère », et de créer une atmosphère rassurante, tout comme peut le faire un décor adapté.</w:t>
      </w:r>
    </w:p>
    <w:p w14:paraId="07019D41" w14:textId="77777777" w:rsidR="001E52A5" w:rsidRDefault="001E52A5" w:rsidP="001E52A5">
      <w:pPr>
        <w:spacing w:before="100" w:beforeAutospacing="1" w:after="100" w:afterAutospacing="1"/>
        <w:rPr>
          <w:rFonts w:cs="Times New Roman"/>
          <w:lang w:eastAsia="fr-FR"/>
        </w:rPr>
      </w:pPr>
      <w:bookmarkStart w:id="32" w:name="c0006p0039"/>
      <w:bookmarkEnd w:id="32"/>
      <w:r w:rsidRPr="007933E6">
        <w:rPr>
          <w:rFonts w:cs="Times New Roman"/>
          <w:lang w:eastAsia="fr-FR"/>
        </w:rPr>
        <w:t>L’audition intervient à plusieurs niveaux. Il faut ainsi réduire les nuisances sonores ambiantes à l’induction et au réveil (discussion, bruits chirurgicaux) et utiliser une musique d’ambiance, qui paraît être un bon moyen pour le patient de parvenir à un apaisement, une détente, de garder un contact avec l’extérieur et de le sécuriser. On peut ainsi, en particulier sous ALR, réduire les besoins en sédation associée [</w:t>
      </w:r>
      <w:hyperlink r:id="rId25" w:anchor="c0006bib0015" w:history="1">
        <w:r w:rsidRPr="007933E6">
          <w:rPr>
            <w:rFonts w:cs="Times New Roman"/>
            <w:color w:val="0000FF"/>
            <w:u w:val="single"/>
            <w:lang w:eastAsia="fr-FR"/>
          </w:rPr>
          <w:t>15</w:t>
        </w:r>
      </w:hyperlink>
      <w:r w:rsidRPr="007933E6">
        <w:rPr>
          <w:rFonts w:cs="Times New Roman"/>
          <w:lang w:eastAsia="fr-FR"/>
        </w:rPr>
        <w:t xml:space="preserve">]. L’écoute de musique adaptée en préopératoire réduit les scores d’anxiété sans modifier les éléments </w:t>
      </w:r>
      <w:r w:rsidRPr="007933E6">
        <w:rPr>
          <w:rFonts w:cs="Times New Roman"/>
          <w:lang w:eastAsia="fr-FR"/>
        </w:rPr>
        <w:lastRenderedPageBreak/>
        <w:t>physiologiques liés à cette anxiété [</w:t>
      </w:r>
      <w:hyperlink r:id="rId26" w:anchor="c0006bib0016" w:history="1">
        <w:r w:rsidRPr="007933E6">
          <w:rPr>
            <w:rFonts w:cs="Times New Roman"/>
            <w:color w:val="0000FF"/>
            <w:u w:val="single"/>
            <w:lang w:eastAsia="fr-FR"/>
          </w:rPr>
          <w:t>16</w:t>
        </w:r>
      </w:hyperlink>
      <w:r w:rsidRPr="007933E6">
        <w:rPr>
          <w:rFonts w:cs="Times New Roman"/>
          <w:lang w:eastAsia="fr-FR"/>
        </w:rPr>
        <w:t>]. Certains préféreront le silence afin de mieux se concentrer, alors que pour d’autres la musique peut aider à dédramatiser la situation.</w:t>
      </w:r>
    </w:p>
    <w:p w14:paraId="19A3A79E" w14:textId="77777777" w:rsidR="002E3710" w:rsidRPr="007933E6" w:rsidRDefault="002E3710" w:rsidP="001E52A5">
      <w:pPr>
        <w:spacing w:before="100" w:beforeAutospacing="1" w:after="100" w:afterAutospacing="1"/>
        <w:rPr>
          <w:rFonts w:cs="Times New Roman"/>
          <w:lang w:eastAsia="fr-FR"/>
        </w:rPr>
      </w:pPr>
    </w:p>
    <w:p w14:paraId="366222CE" w14:textId="77777777" w:rsidR="001E52A5" w:rsidRDefault="001E52A5" w:rsidP="001E52A5">
      <w:pPr>
        <w:rPr>
          <w:rFonts w:eastAsia="Times New Roman" w:cs="Times New Roman"/>
          <w:b/>
          <w:color w:val="FF0000"/>
          <w:lang w:eastAsia="fr-FR"/>
        </w:rPr>
      </w:pPr>
      <w:r w:rsidRPr="002E3710">
        <w:rPr>
          <w:rFonts w:eastAsia="Times New Roman" w:cs="Times New Roman"/>
          <w:b/>
          <w:color w:val="FF0000"/>
          <w:lang w:eastAsia="fr-FR"/>
        </w:rPr>
        <w:t>Références</w:t>
      </w:r>
    </w:p>
    <w:p w14:paraId="6DDDFA78" w14:textId="77777777" w:rsidR="002E3710" w:rsidRPr="002E3710" w:rsidRDefault="002E3710" w:rsidP="001E52A5">
      <w:pPr>
        <w:rPr>
          <w:rFonts w:eastAsia="Times New Roman" w:cs="Times New Roman"/>
          <w:b/>
          <w:color w:val="FF0000"/>
          <w:lang w:eastAsia="fr-FR"/>
        </w:rPr>
      </w:pPr>
    </w:p>
    <w:tbl>
      <w:tblPr>
        <w:tblW w:w="0" w:type="auto"/>
        <w:tblCellSpacing w:w="0" w:type="dxa"/>
        <w:tblCellMar>
          <w:left w:w="0" w:type="dxa"/>
          <w:right w:w="0" w:type="dxa"/>
        </w:tblCellMar>
        <w:tblLook w:val="04A0" w:firstRow="1" w:lastRow="0" w:firstColumn="1" w:lastColumn="0" w:noHBand="0" w:noVBand="1"/>
      </w:tblPr>
      <w:tblGrid>
        <w:gridCol w:w="455"/>
        <w:gridCol w:w="53"/>
        <w:gridCol w:w="8558"/>
      </w:tblGrid>
      <w:tr w:rsidR="001E52A5" w:rsidRPr="007933E6" w14:paraId="219EB684" w14:textId="77777777" w:rsidTr="001E52A5">
        <w:trPr>
          <w:tblCellSpacing w:w="0" w:type="dxa"/>
        </w:trPr>
        <w:tc>
          <w:tcPr>
            <w:tcW w:w="0" w:type="auto"/>
            <w:hideMark/>
          </w:tcPr>
          <w:p w14:paraId="77DED24A" w14:textId="77777777" w:rsidR="001E52A5" w:rsidRPr="007933E6" w:rsidRDefault="001E52A5" w:rsidP="001E52A5">
            <w:pPr>
              <w:rPr>
                <w:rFonts w:eastAsia="Times New Roman" w:cs="Times New Roman"/>
                <w:lang w:eastAsia="fr-FR"/>
              </w:rPr>
            </w:pPr>
            <w:bookmarkStart w:id="33" w:name="c0006bib0001"/>
            <w:bookmarkEnd w:id="33"/>
            <w:r w:rsidRPr="007933E6">
              <w:rPr>
                <w:rFonts w:eastAsia="Times New Roman" w:cs="Times New Roman"/>
                <w:lang w:eastAsia="fr-FR"/>
              </w:rPr>
              <w:t>[1 ]</w:t>
            </w:r>
          </w:p>
        </w:tc>
        <w:tc>
          <w:tcPr>
            <w:tcW w:w="0" w:type="auto"/>
            <w:vAlign w:val="center"/>
            <w:hideMark/>
          </w:tcPr>
          <w:p w14:paraId="3A365519"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516B6F6E"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Caumo W, Schmidt AP, Schneider CN, et al. Risk factors for preoperative anxiety in adults. Acta Anaesthesiol Scand 2001 ; 45 : 298-307.</w:t>
            </w:r>
          </w:p>
        </w:tc>
      </w:tr>
      <w:tr w:rsidR="001E52A5" w:rsidRPr="007933E6" w14:paraId="5DE08D96" w14:textId="77777777" w:rsidTr="001E52A5">
        <w:trPr>
          <w:tblCellSpacing w:w="0" w:type="dxa"/>
        </w:trPr>
        <w:tc>
          <w:tcPr>
            <w:tcW w:w="0" w:type="auto"/>
            <w:vAlign w:val="center"/>
            <w:hideMark/>
          </w:tcPr>
          <w:p w14:paraId="60CC9A7A"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244F20D3"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0AAB04B7"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5DED2A5A" w14:textId="77777777" w:rsidTr="001E52A5">
        <w:trPr>
          <w:tblCellSpacing w:w="0" w:type="dxa"/>
        </w:trPr>
        <w:tc>
          <w:tcPr>
            <w:tcW w:w="0" w:type="auto"/>
            <w:hideMark/>
          </w:tcPr>
          <w:p w14:paraId="0AA49AAC" w14:textId="77777777" w:rsidR="001E52A5" w:rsidRPr="007933E6" w:rsidRDefault="001E52A5" w:rsidP="001E52A5">
            <w:pPr>
              <w:rPr>
                <w:rFonts w:eastAsia="Times New Roman" w:cs="Times New Roman"/>
                <w:lang w:eastAsia="fr-FR"/>
              </w:rPr>
            </w:pPr>
            <w:bookmarkStart w:id="34" w:name="c0006bib0002"/>
            <w:bookmarkEnd w:id="34"/>
            <w:r w:rsidRPr="007933E6">
              <w:rPr>
                <w:rFonts w:eastAsia="Times New Roman" w:cs="Times New Roman"/>
                <w:lang w:eastAsia="fr-FR"/>
              </w:rPr>
              <w:t>[2]</w:t>
            </w:r>
          </w:p>
        </w:tc>
        <w:tc>
          <w:tcPr>
            <w:tcW w:w="0" w:type="auto"/>
            <w:vAlign w:val="center"/>
            <w:hideMark/>
          </w:tcPr>
          <w:p w14:paraId="67CE7087"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75BFE626"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Morley AP, Papgeorgiou CH, Marianaki AM, et al. The effects of preoperative anxiety of anesthesia with propofol. Anaesthesia 2008 ; 63 : 467-73.</w:t>
            </w:r>
          </w:p>
        </w:tc>
      </w:tr>
      <w:tr w:rsidR="001E52A5" w:rsidRPr="007933E6" w14:paraId="00119CD8" w14:textId="77777777" w:rsidTr="001E52A5">
        <w:trPr>
          <w:tblCellSpacing w:w="0" w:type="dxa"/>
        </w:trPr>
        <w:tc>
          <w:tcPr>
            <w:tcW w:w="0" w:type="auto"/>
            <w:vAlign w:val="center"/>
            <w:hideMark/>
          </w:tcPr>
          <w:p w14:paraId="6E7EA3EC"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0B637DCA"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02DD54FA"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0927C5A6" w14:textId="77777777" w:rsidTr="001E52A5">
        <w:trPr>
          <w:tblCellSpacing w:w="0" w:type="dxa"/>
        </w:trPr>
        <w:tc>
          <w:tcPr>
            <w:tcW w:w="0" w:type="auto"/>
            <w:hideMark/>
          </w:tcPr>
          <w:p w14:paraId="3EBAA96B" w14:textId="77777777" w:rsidR="001E52A5" w:rsidRPr="007933E6" w:rsidRDefault="001E52A5" w:rsidP="001E52A5">
            <w:pPr>
              <w:rPr>
                <w:rFonts w:eastAsia="Times New Roman" w:cs="Times New Roman"/>
                <w:lang w:eastAsia="fr-FR"/>
              </w:rPr>
            </w:pPr>
            <w:bookmarkStart w:id="35" w:name="c0006bib0003"/>
            <w:bookmarkEnd w:id="35"/>
            <w:r w:rsidRPr="007933E6">
              <w:rPr>
                <w:rFonts w:eastAsia="Times New Roman" w:cs="Times New Roman"/>
                <w:lang w:eastAsia="fr-FR"/>
              </w:rPr>
              <w:t>[3 ]</w:t>
            </w:r>
          </w:p>
        </w:tc>
        <w:tc>
          <w:tcPr>
            <w:tcW w:w="0" w:type="auto"/>
            <w:vAlign w:val="center"/>
            <w:hideMark/>
          </w:tcPr>
          <w:p w14:paraId="1A023905"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25244D7"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Kojima Y, Ina H, Fujita T. Relieving anxiety by entering the operating room on foot. Can J Anesth 2002 ; 49 : 885-6.</w:t>
            </w:r>
          </w:p>
        </w:tc>
      </w:tr>
      <w:tr w:rsidR="001E52A5" w:rsidRPr="007933E6" w14:paraId="672DE9CA" w14:textId="77777777" w:rsidTr="001E52A5">
        <w:trPr>
          <w:tblCellSpacing w:w="0" w:type="dxa"/>
        </w:trPr>
        <w:tc>
          <w:tcPr>
            <w:tcW w:w="0" w:type="auto"/>
            <w:vAlign w:val="center"/>
            <w:hideMark/>
          </w:tcPr>
          <w:p w14:paraId="55D6271A"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13A6FA52"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07DDE885"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7CC0DA6D" w14:textId="77777777" w:rsidTr="001E52A5">
        <w:trPr>
          <w:tblCellSpacing w:w="0" w:type="dxa"/>
        </w:trPr>
        <w:tc>
          <w:tcPr>
            <w:tcW w:w="0" w:type="auto"/>
            <w:hideMark/>
          </w:tcPr>
          <w:p w14:paraId="676EE26A" w14:textId="77777777" w:rsidR="001E52A5" w:rsidRPr="007933E6" w:rsidRDefault="001E52A5" w:rsidP="001E52A5">
            <w:pPr>
              <w:rPr>
                <w:rFonts w:eastAsia="Times New Roman" w:cs="Times New Roman"/>
                <w:lang w:eastAsia="fr-FR"/>
              </w:rPr>
            </w:pPr>
            <w:bookmarkStart w:id="36" w:name="c0006bib0004"/>
            <w:bookmarkEnd w:id="36"/>
            <w:r w:rsidRPr="007933E6">
              <w:rPr>
                <w:rFonts w:eastAsia="Times New Roman" w:cs="Times New Roman"/>
                <w:lang w:eastAsia="fr-FR"/>
              </w:rPr>
              <w:t>[4]</w:t>
            </w:r>
          </w:p>
        </w:tc>
        <w:tc>
          <w:tcPr>
            <w:tcW w:w="0" w:type="auto"/>
            <w:vAlign w:val="center"/>
            <w:hideMark/>
          </w:tcPr>
          <w:p w14:paraId="23F0FC43"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F0A6490"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Badner NH, Nielson WR, Munk S, et al. Preoperative anxiety : detection and contributing factors. Can J Anaesth 1990 ; 37 : 444-7.</w:t>
            </w:r>
          </w:p>
        </w:tc>
      </w:tr>
      <w:tr w:rsidR="001E52A5" w:rsidRPr="007933E6" w14:paraId="5D53CF2F" w14:textId="77777777" w:rsidTr="001E52A5">
        <w:trPr>
          <w:tblCellSpacing w:w="0" w:type="dxa"/>
        </w:trPr>
        <w:tc>
          <w:tcPr>
            <w:tcW w:w="0" w:type="auto"/>
            <w:vAlign w:val="center"/>
            <w:hideMark/>
          </w:tcPr>
          <w:p w14:paraId="0D887A04"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47BDAD04"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52A349D2"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5B5EEA78" w14:textId="77777777" w:rsidTr="001E52A5">
        <w:trPr>
          <w:tblCellSpacing w:w="0" w:type="dxa"/>
        </w:trPr>
        <w:tc>
          <w:tcPr>
            <w:tcW w:w="0" w:type="auto"/>
            <w:hideMark/>
          </w:tcPr>
          <w:p w14:paraId="73402C5E" w14:textId="77777777" w:rsidR="001E52A5" w:rsidRPr="007933E6" w:rsidRDefault="001E52A5" w:rsidP="001E52A5">
            <w:pPr>
              <w:rPr>
                <w:rFonts w:eastAsia="Times New Roman" w:cs="Times New Roman"/>
                <w:lang w:eastAsia="fr-FR"/>
              </w:rPr>
            </w:pPr>
            <w:bookmarkStart w:id="37" w:name="c0006bib0005"/>
            <w:bookmarkEnd w:id="37"/>
            <w:r w:rsidRPr="007933E6">
              <w:rPr>
                <w:rFonts w:eastAsia="Times New Roman" w:cs="Times New Roman"/>
                <w:lang w:eastAsia="fr-FR"/>
              </w:rPr>
              <w:t>[5 ]</w:t>
            </w:r>
          </w:p>
        </w:tc>
        <w:tc>
          <w:tcPr>
            <w:tcW w:w="0" w:type="auto"/>
            <w:vAlign w:val="center"/>
            <w:hideMark/>
          </w:tcPr>
          <w:p w14:paraId="7FF2FA5F"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277C01D4"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Kain ZN, Mayes LC, Cicchetti DV, et al. The Yale Preoperative Anxiety Scale : how does it compare with « a gold standard » ? Anesth Analg 1997 ; 85 : 783-8.</w:t>
            </w:r>
          </w:p>
        </w:tc>
      </w:tr>
      <w:tr w:rsidR="001E52A5" w:rsidRPr="007933E6" w14:paraId="5F51DBE2" w14:textId="77777777" w:rsidTr="001E52A5">
        <w:trPr>
          <w:tblCellSpacing w:w="0" w:type="dxa"/>
        </w:trPr>
        <w:tc>
          <w:tcPr>
            <w:tcW w:w="0" w:type="auto"/>
            <w:vAlign w:val="center"/>
            <w:hideMark/>
          </w:tcPr>
          <w:p w14:paraId="6355F03B"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72EE0430"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30238FD6"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093AB010" w14:textId="77777777" w:rsidTr="001E52A5">
        <w:trPr>
          <w:tblCellSpacing w:w="0" w:type="dxa"/>
        </w:trPr>
        <w:tc>
          <w:tcPr>
            <w:tcW w:w="0" w:type="auto"/>
            <w:hideMark/>
          </w:tcPr>
          <w:p w14:paraId="626D5074" w14:textId="77777777" w:rsidR="001E52A5" w:rsidRPr="007933E6" w:rsidRDefault="001E52A5" w:rsidP="001E52A5">
            <w:pPr>
              <w:rPr>
                <w:rFonts w:eastAsia="Times New Roman" w:cs="Times New Roman"/>
                <w:lang w:eastAsia="fr-FR"/>
              </w:rPr>
            </w:pPr>
            <w:bookmarkStart w:id="38" w:name="c0006bib0006"/>
            <w:bookmarkEnd w:id="38"/>
            <w:r w:rsidRPr="007933E6">
              <w:rPr>
                <w:rFonts w:eastAsia="Times New Roman" w:cs="Times New Roman"/>
                <w:lang w:eastAsia="fr-FR"/>
              </w:rPr>
              <w:t>[6]</w:t>
            </w:r>
          </w:p>
        </w:tc>
        <w:tc>
          <w:tcPr>
            <w:tcW w:w="0" w:type="auto"/>
            <w:vAlign w:val="center"/>
            <w:hideMark/>
          </w:tcPr>
          <w:p w14:paraId="16B46CCD"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22BEB536"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Boker A, Brownell L, Donen N. The Amsterdam preoperative anxiety and information scale provides a simple and reliable measure of preoperative anxiety. Can J Anesth 2002 ; 49 : 792-8.</w:t>
            </w:r>
          </w:p>
        </w:tc>
      </w:tr>
      <w:tr w:rsidR="001E52A5" w:rsidRPr="007933E6" w14:paraId="74122768" w14:textId="77777777" w:rsidTr="001E52A5">
        <w:trPr>
          <w:tblCellSpacing w:w="0" w:type="dxa"/>
        </w:trPr>
        <w:tc>
          <w:tcPr>
            <w:tcW w:w="0" w:type="auto"/>
            <w:vAlign w:val="center"/>
            <w:hideMark/>
          </w:tcPr>
          <w:p w14:paraId="2B810851"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1028CF3D"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08A31967"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4927B221" w14:textId="77777777" w:rsidTr="001E52A5">
        <w:trPr>
          <w:tblCellSpacing w:w="0" w:type="dxa"/>
        </w:trPr>
        <w:tc>
          <w:tcPr>
            <w:tcW w:w="0" w:type="auto"/>
            <w:hideMark/>
          </w:tcPr>
          <w:p w14:paraId="777EBA50" w14:textId="77777777" w:rsidR="001E52A5" w:rsidRPr="007933E6" w:rsidRDefault="001E52A5" w:rsidP="001E52A5">
            <w:pPr>
              <w:rPr>
                <w:rFonts w:eastAsia="Times New Roman" w:cs="Times New Roman"/>
                <w:lang w:eastAsia="fr-FR"/>
              </w:rPr>
            </w:pPr>
            <w:bookmarkStart w:id="39" w:name="c0006bib0007"/>
            <w:bookmarkEnd w:id="39"/>
            <w:r w:rsidRPr="007933E6">
              <w:rPr>
                <w:rFonts w:eastAsia="Times New Roman" w:cs="Times New Roman"/>
                <w:lang w:eastAsia="fr-FR"/>
              </w:rPr>
              <w:t>[7 ]</w:t>
            </w:r>
          </w:p>
        </w:tc>
        <w:tc>
          <w:tcPr>
            <w:tcW w:w="0" w:type="auto"/>
            <w:vAlign w:val="center"/>
            <w:hideMark/>
          </w:tcPr>
          <w:p w14:paraId="53BE80E1"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4E630E48"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Kindler CH, Harms C, Amler F. The visual analog scale allows effective measurement of preoperative anxiety and detection of patients’ anesthesic concern. Anesth Analg 2000 ; 90 : 706-12.</w:t>
            </w:r>
          </w:p>
        </w:tc>
      </w:tr>
      <w:tr w:rsidR="001E52A5" w:rsidRPr="007933E6" w14:paraId="45006B23" w14:textId="77777777" w:rsidTr="001E52A5">
        <w:trPr>
          <w:tblCellSpacing w:w="0" w:type="dxa"/>
        </w:trPr>
        <w:tc>
          <w:tcPr>
            <w:tcW w:w="0" w:type="auto"/>
            <w:vAlign w:val="center"/>
            <w:hideMark/>
          </w:tcPr>
          <w:p w14:paraId="12E96AE4"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1FB66A92"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3423304B"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0182A51A" w14:textId="77777777" w:rsidTr="001E52A5">
        <w:trPr>
          <w:tblCellSpacing w:w="0" w:type="dxa"/>
        </w:trPr>
        <w:tc>
          <w:tcPr>
            <w:tcW w:w="0" w:type="auto"/>
            <w:hideMark/>
          </w:tcPr>
          <w:p w14:paraId="3C1AF8E7" w14:textId="77777777" w:rsidR="001E52A5" w:rsidRPr="007933E6" w:rsidRDefault="001E52A5" w:rsidP="001E52A5">
            <w:pPr>
              <w:rPr>
                <w:rFonts w:eastAsia="Times New Roman" w:cs="Times New Roman"/>
                <w:lang w:eastAsia="fr-FR"/>
              </w:rPr>
            </w:pPr>
            <w:bookmarkStart w:id="40" w:name="c0006bib0008"/>
            <w:bookmarkEnd w:id="40"/>
            <w:r w:rsidRPr="007933E6">
              <w:rPr>
                <w:rFonts w:eastAsia="Times New Roman" w:cs="Times New Roman"/>
                <w:lang w:eastAsia="fr-FR"/>
              </w:rPr>
              <w:t>[8]</w:t>
            </w:r>
          </w:p>
        </w:tc>
        <w:tc>
          <w:tcPr>
            <w:tcW w:w="0" w:type="auto"/>
            <w:vAlign w:val="center"/>
            <w:hideMark/>
          </w:tcPr>
          <w:p w14:paraId="71CB91ED"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29AA3366"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Millar K, Jelicic M, Bonke B, et al. Assessment of preoperative anxiety : comparaison of measures in patients awaiting surgery for breast cancer. Br J Anaesth 1995 ; 74 : 180-3.</w:t>
            </w:r>
          </w:p>
        </w:tc>
      </w:tr>
      <w:tr w:rsidR="001E52A5" w:rsidRPr="007933E6" w14:paraId="6EFF8A2F" w14:textId="77777777" w:rsidTr="001E52A5">
        <w:trPr>
          <w:tblCellSpacing w:w="0" w:type="dxa"/>
        </w:trPr>
        <w:tc>
          <w:tcPr>
            <w:tcW w:w="0" w:type="auto"/>
            <w:vAlign w:val="center"/>
            <w:hideMark/>
          </w:tcPr>
          <w:p w14:paraId="0C049025"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261A89AD"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3207398"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7FEBA89F" w14:textId="77777777" w:rsidTr="001E52A5">
        <w:trPr>
          <w:tblCellSpacing w:w="0" w:type="dxa"/>
        </w:trPr>
        <w:tc>
          <w:tcPr>
            <w:tcW w:w="0" w:type="auto"/>
            <w:hideMark/>
          </w:tcPr>
          <w:p w14:paraId="5C652E40" w14:textId="77777777" w:rsidR="001E52A5" w:rsidRPr="007933E6" w:rsidRDefault="001E52A5" w:rsidP="001E52A5">
            <w:pPr>
              <w:rPr>
                <w:rFonts w:eastAsia="Times New Roman" w:cs="Times New Roman"/>
                <w:lang w:eastAsia="fr-FR"/>
              </w:rPr>
            </w:pPr>
            <w:bookmarkStart w:id="41" w:name="c0006bib0009"/>
            <w:bookmarkEnd w:id="41"/>
            <w:r w:rsidRPr="007933E6">
              <w:rPr>
                <w:rFonts w:eastAsia="Times New Roman" w:cs="Times New Roman"/>
                <w:lang w:eastAsia="fr-FR"/>
              </w:rPr>
              <w:t>[9 ]</w:t>
            </w:r>
          </w:p>
        </w:tc>
        <w:tc>
          <w:tcPr>
            <w:tcW w:w="0" w:type="auto"/>
            <w:vAlign w:val="center"/>
            <w:hideMark/>
          </w:tcPr>
          <w:p w14:paraId="30AC2CC9"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583EE533"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Bellan L, Cooi A, Rehsia S. The Misericordia Health Centre cataract comfort study. Can J Ophtalmol 2002 ; 37 : 155-60.</w:t>
            </w:r>
          </w:p>
        </w:tc>
      </w:tr>
      <w:tr w:rsidR="001E52A5" w:rsidRPr="007933E6" w14:paraId="7981953A" w14:textId="77777777" w:rsidTr="001E52A5">
        <w:trPr>
          <w:tblCellSpacing w:w="0" w:type="dxa"/>
        </w:trPr>
        <w:tc>
          <w:tcPr>
            <w:tcW w:w="0" w:type="auto"/>
            <w:vAlign w:val="center"/>
            <w:hideMark/>
          </w:tcPr>
          <w:p w14:paraId="0EB0C677"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2EBA6985"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406EE630"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0643749D" w14:textId="77777777" w:rsidTr="001E52A5">
        <w:trPr>
          <w:tblCellSpacing w:w="0" w:type="dxa"/>
        </w:trPr>
        <w:tc>
          <w:tcPr>
            <w:tcW w:w="0" w:type="auto"/>
            <w:hideMark/>
          </w:tcPr>
          <w:p w14:paraId="7B46D172" w14:textId="77777777" w:rsidR="001E52A5" w:rsidRPr="007933E6" w:rsidRDefault="001E52A5" w:rsidP="001E52A5">
            <w:pPr>
              <w:rPr>
                <w:rFonts w:eastAsia="Times New Roman" w:cs="Times New Roman"/>
                <w:lang w:eastAsia="fr-FR"/>
              </w:rPr>
            </w:pPr>
            <w:bookmarkStart w:id="42" w:name="c0006bib0010"/>
            <w:bookmarkEnd w:id="42"/>
            <w:r w:rsidRPr="007933E6">
              <w:rPr>
                <w:rFonts w:eastAsia="Times New Roman" w:cs="Times New Roman"/>
                <w:lang w:eastAsia="fr-FR"/>
              </w:rPr>
              <w:t>[10]</w:t>
            </w:r>
          </w:p>
        </w:tc>
        <w:tc>
          <w:tcPr>
            <w:tcW w:w="0" w:type="auto"/>
            <w:vAlign w:val="center"/>
            <w:hideMark/>
          </w:tcPr>
          <w:p w14:paraId="66DDFA86"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CE0C71C"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Dalstein G. L’expérience du bloc opératoire. Vécu du patient. Recherche en Soins Infirmiers 1995 ; 41 : 65-75.</w:t>
            </w:r>
          </w:p>
        </w:tc>
      </w:tr>
      <w:tr w:rsidR="001E52A5" w:rsidRPr="007933E6" w14:paraId="3FF57C4E" w14:textId="77777777" w:rsidTr="001E52A5">
        <w:trPr>
          <w:tblCellSpacing w:w="0" w:type="dxa"/>
        </w:trPr>
        <w:tc>
          <w:tcPr>
            <w:tcW w:w="0" w:type="auto"/>
            <w:vAlign w:val="center"/>
            <w:hideMark/>
          </w:tcPr>
          <w:p w14:paraId="64DD4CD3"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18D937C9"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03DDA88"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7A4FF14C" w14:textId="77777777" w:rsidTr="001E52A5">
        <w:trPr>
          <w:tblCellSpacing w:w="0" w:type="dxa"/>
        </w:trPr>
        <w:tc>
          <w:tcPr>
            <w:tcW w:w="0" w:type="auto"/>
            <w:hideMark/>
          </w:tcPr>
          <w:p w14:paraId="47AEA190" w14:textId="77777777" w:rsidR="001E52A5" w:rsidRPr="007933E6" w:rsidRDefault="001E52A5" w:rsidP="001E52A5">
            <w:pPr>
              <w:rPr>
                <w:rFonts w:eastAsia="Times New Roman" w:cs="Times New Roman"/>
                <w:lang w:eastAsia="fr-FR"/>
              </w:rPr>
            </w:pPr>
            <w:bookmarkStart w:id="43" w:name="c0006bib0011"/>
            <w:bookmarkEnd w:id="43"/>
            <w:r w:rsidRPr="007933E6">
              <w:rPr>
                <w:rFonts w:eastAsia="Times New Roman" w:cs="Times New Roman"/>
                <w:lang w:eastAsia="fr-FR"/>
              </w:rPr>
              <w:t>[11]</w:t>
            </w:r>
          </w:p>
        </w:tc>
        <w:tc>
          <w:tcPr>
            <w:tcW w:w="0" w:type="auto"/>
            <w:vAlign w:val="center"/>
            <w:hideMark/>
          </w:tcPr>
          <w:p w14:paraId="1178FA5D"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9298E96"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Egbert LD, Battit G, Turndorf H, Beecher HK. The value of the preoperative visit by an anaesthetist. A study of doctor-patient rapport. JAMA 1963 ; 85 : 553-5.</w:t>
            </w:r>
          </w:p>
        </w:tc>
      </w:tr>
      <w:tr w:rsidR="001E52A5" w:rsidRPr="007933E6" w14:paraId="66AF7873" w14:textId="77777777" w:rsidTr="001E52A5">
        <w:trPr>
          <w:tblCellSpacing w:w="0" w:type="dxa"/>
        </w:trPr>
        <w:tc>
          <w:tcPr>
            <w:tcW w:w="0" w:type="auto"/>
            <w:vAlign w:val="center"/>
            <w:hideMark/>
          </w:tcPr>
          <w:p w14:paraId="67E8E485"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C93C284"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7B9A39FC"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6FF9D5EA" w14:textId="77777777" w:rsidTr="001E52A5">
        <w:trPr>
          <w:tblCellSpacing w:w="0" w:type="dxa"/>
        </w:trPr>
        <w:tc>
          <w:tcPr>
            <w:tcW w:w="0" w:type="auto"/>
            <w:hideMark/>
          </w:tcPr>
          <w:p w14:paraId="74ACB003" w14:textId="77777777" w:rsidR="001E52A5" w:rsidRPr="007933E6" w:rsidRDefault="001E52A5" w:rsidP="001E52A5">
            <w:pPr>
              <w:rPr>
                <w:rFonts w:eastAsia="Times New Roman" w:cs="Times New Roman"/>
                <w:lang w:eastAsia="fr-FR"/>
              </w:rPr>
            </w:pPr>
            <w:bookmarkStart w:id="44" w:name="c0006bib0012"/>
            <w:bookmarkEnd w:id="44"/>
            <w:r w:rsidRPr="007933E6">
              <w:rPr>
                <w:rFonts w:eastAsia="Times New Roman" w:cs="Times New Roman"/>
                <w:lang w:eastAsia="fr-FR"/>
              </w:rPr>
              <w:t>[12 ]</w:t>
            </w:r>
          </w:p>
        </w:tc>
        <w:tc>
          <w:tcPr>
            <w:tcW w:w="0" w:type="auto"/>
            <w:vAlign w:val="center"/>
            <w:hideMark/>
          </w:tcPr>
          <w:p w14:paraId="1FE953EF"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5545C094"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Croissant JN, Le Doridour T. Salle de surveillance post-interventionnelle, jusqu’où peut-on aller, sans aller trop loin ? Oxymag 2009 ; 104 : 8-11.</w:t>
            </w:r>
          </w:p>
        </w:tc>
      </w:tr>
      <w:tr w:rsidR="001E52A5" w:rsidRPr="007933E6" w14:paraId="33B6BA9C" w14:textId="77777777" w:rsidTr="001E52A5">
        <w:trPr>
          <w:tblCellSpacing w:w="0" w:type="dxa"/>
        </w:trPr>
        <w:tc>
          <w:tcPr>
            <w:tcW w:w="0" w:type="auto"/>
            <w:vAlign w:val="center"/>
            <w:hideMark/>
          </w:tcPr>
          <w:p w14:paraId="5E905E47"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37DB5C3"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8B2F039"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6CD34871" w14:textId="77777777" w:rsidTr="001E52A5">
        <w:trPr>
          <w:tblCellSpacing w:w="0" w:type="dxa"/>
        </w:trPr>
        <w:tc>
          <w:tcPr>
            <w:tcW w:w="0" w:type="auto"/>
            <w:hideMark/>
          </w:tcPr>
          <w:p w14:paraId="0421CED6" w14:textId="77777777" w:rsidR="001E52A5" w:rsidRPr="007933E6" w:rsidRDefault="001E52A5" w:rsidP="001E52A5">
            <w:pPr>
              <w:rPr>
                <w:rFonts w:eastAsia="Times New Roman" w:cs="Times New Roman"/>
                <w:lang w:eastAsia="fr-FR"/>
              </w:rPr>
            </w:pPr>
            <w:bookmarkStart w:id="45" w:name="c0006bib0013"/>
            <w:bookmarkEnd w:id="45"/>
            <w:r w:rsidRPr="007933E6">
              <w:rPr>
                <w:rFonts w:eastAsia="Times New Roman" w:cs="Times New Roman"/>
                <w:lang w:eastAsia="fr-FR"/>
              </w:rPr>
              <w:t>[13]</w:t>
            </w:r>
          </w:p>
        </w:tc>
        <w:tc>
          <w:tcPr>
            <w:tcW w:w="0" w:type="auto"/>
            <w:vAlign w:val="center"/>
            <w:hideMark/>
          </w:tcPr>
          <w:p w14:paraId="2008AB41"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079EA958"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Abuhamdah S, Chazot P. Lemon balm and lavender herbal essential oils : old and new ways to treat emotional disorders ? Curr Anesth Critical Care 2008 ; 19 : 221-6.</w:t>
            </w:r>
          </w:p>
        </w:tc>
      </w:tr>
      <w:tr w:rsidR="001E52A5" w:rsidRPr="007933E6" w14:paraId="4EC5310D" w14:textId="77777777" w:rsidTr="001E52A5">
        <w:trPr>
          <w:tblCellSpacing w:w="0" w:type="dxa"/>
        </w:trPr>
        <w:tc>
          <w:tcPr>
            <w:tcW w:w="0" w:type="auto"/>
            <w:vAlign w:val="center"/>
            <w:hideMark/>
          </w:tcPr>
          <w:p w14:paraId="008F0F17"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0B429889"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14E27592"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5A24F29F" w14:textId="77777777" w:rsidTr="001E52A5">
        <w:trPr>
          <w:tblCellSpacing w:w="0" w:type="dxa"/>
        </w:trPr>
        <w:tc>
          <w:tcPr>
            <w:tcW w:w="0" w:type="auto"/>
            <w:hideMark/>
          </w:tcPr>
          <w:p w14:paraId="7DF79B18" w14:textId="77777777" w:rsidR="001E52A5" w:rsidRPr="007933E6" w:rsidRDefault="001E52A5" w:rsidP="001E52A5">
            <w:pPr>
              <w:rPr>
                <w:rFonts w:eastAsia="Times New Roman" w:cs="Times New Roman"/>
                <w:lang w:eastAsia="fr-FR"/>
              </w:rPr>
            </w:pPr>
            <w:bookmarkStart w:id="46" w:name="c0006bib0014"/>
            <w:bookmarkEnd w:id="46"/>
            <w:r w:rsidRPr="007933E6">
              <w:rPr>
                <w:rFonts w:eastAsia="Times New Roman" w:cs="Times New Roman"/>
                <w:lang w:eastAsia="fr-FR"/>
              </w:rPr>
              <w:lastRenderedPageBreak/>
              <w:t>[14]</w:t>
            </w:r>
          </w:p>
        </w:tc>
        <w:tc>
          <w:tcPr>
            <w:tcW w:w="0" w:type="auto"/>
            <w:vAlign w:val="center"/>
            <w:hideMark/>
          </w:tcPr>
          <w:p w14:paraId="1F05E84C"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40AD79C3"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Viel E, Bruelle P, Elejdam JJ. Les adjuvants de l’analgésie postopératoire. Congrès de la SFAR 1997 ; 349-61.</w:t>
            </w:r>
          </w:p>
        </w:tc>
      </w:tr>
      <w:tr w:rsidR="001E52A5" w:rsidRPr="007933E6" w14:paraId="74DA2F10" w14:textId="77777777" w:rsidTr="001E52A5">
        <w:trPr>
          <w:tblCellSpacing w:w="0" w:type="dxa"/>
        </w:trPr>
        <w:tc>
          <w:tcPr>
            <w:tcW w:w="0" w:type="auto"/>
            <w:vAlign w:val="center"/>
            <w:hideMark/>
          </w:tcPr>
          <w:p w14:paraId="567CB439"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091ACF38"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48C4905"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4B9E756D" w14:textId="77777777" w:rsidTr="001E52A5">
        <w:trPr>
          <w:tblCellSpacing w:w="0" w:type="dxa"/>
        </w:trPr>
        <w:tc>
          <w:tcPr>
            <w:tcW w:w="0" w:type="auto"/>
            <w:hideMark/>
          </w:tcPr>
          <w:p w14:paraId="714C6861" w14:textId="77777777" w:rsidR="001E52A5" w:rsidRPr="007933E6" w:rsidRDefault="001E52A5" w:rsidP="001E52A5">
            <w:pPr>
              <w:rPr>
                <w:rFonts w:eastAsia="Times New Roman" w:cs="Times New Roman"/>
                <w:lang w:eastAsia="fr-FR"/>
              </w:rPr>
            </w:pPr>
            <w:bookmarkStart w:id="47" w:name="c0006bib0015"/>
            <w:bookmarkEnd w:id="47"/>
            <w:r w:rsidRPr="007933E6">
              <w:rPr>
                <w:rFonts w:eastAsia="Times New Roman" w:cs="Times New Roman"/>
                <w:lang w:eastAsia="fr-FR"/>
              </w:rPr>
              <w:t>[15]</w:t>
            </w:r>
          </w:p>
        </w:tc>
        <w:tc>
          <w:tcPr>
            <w:tcW w:w="0" w:type="auto"/>
            <w:vAlign w:val="center"/>
            <w:hideMark/>
          </w:tcPr>
          <w:p w14:paraId="1B4D3CEA"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7D26913B"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Ayoub C, Rizk L, Yaacoub C, et al. Music and ambient operating room noise in patients undergoing spinal anesthesia. Anesth Analg 2005 ; 100 : 1316-9.</w:t>
            </w:r>
          </w:p>
        </w:tc>
      </w:tr>
      <w:tr w:rsidR="001E52A5" w:rsidRPr="007933E6" w14:paraId="107164F2" w14:textId="77777777" w:rsidTr="001E52A5">
        <w:trPr>
          <w:tblCellSpacing w:w="0" w:type="dxa"/>
        </w:trPr>
        <w:tc>
          <w:tcPr>
            <w:tcW w:w="0" w:type="auto"/>
            <w:vAlign w:val="center"/>
            <w:hideMark/>
          </w:tcPr>
          <w:p w14:paraId="190BAD24"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FFE100C"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00BA91A0"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r w:rsidR="001E52A5" w:rsidRPr="007933E6" w14:paraId="6A8143A5" w14:textId="77777777" w:rsidTr="001E52A5">
        <w:trPr>
          <w:tblCellSpacing w:w="0" w:type="dxa"/>
        </w:trPr>
        <w:tc>
          <w:tcPr>
            <w:tcW w:w="0" w:type="auto"/>
            <w:hideMark/>
          </w:tcPr>
          <w:p w14:paraId="693A45C5" w14:textId="77777777" w:rsidR="001E52A5" w:rsidRPr="007933E6" w:rsidRDefault="001E52A5" w:rsidP="001E52A5">
            <w:pPr>
              <w:rPr>
                <w:rFonts w:eastAsia="Times New Roman" w:cs="Times New Roman"/>
                <w:lang w:eastAsia="fr-FR"/>
              </w:rPr>
            </w:pPr>
            <w:bookmarkStart w:id="48" w:name="c0006bib0016"/>
            <w:bookmarkEnd w:id="48"/>
            <w:r w:rsidRPr="007933E6">
              <w:rPr>
                <w:rFonts w:eastAsia="Times New Roman" w:cs="Times New Roman"/>
                <w:lang w:eastAsia="fr-FR"/>
              </w:rPr>
              <w:t>[16 ]</w:t>
            </w:r>
          </w:p>
        </w:tc>
        <w:tc>
          <w:tcPr>
            <w:tcW w:w="0" w:type="auto"/>
            <w:vAlign w:val="center"/>
            <w:hideMark/>
          </w:tcPr>
          <w:p w14:paraId="7B938233"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64F6C8C6"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Wang S, Kulkarni L, Dolev J, et al. Music and preoperative anxiety : a randomized, controlled study. Anesth Analg 2002 ; 94 : 1489-94.</w:t>
            </w:r>
          </w:p>
        </w:tc>
      </w:tr>
      <w:tr w:rsidR="001E52A5" w:rsidRPr="007933E6" w14:paraId="2FCD7726" w14:textId="77777777" w:rsidTr="001E52A5">
        <w:trPr>
          <w:tblCellSpacing w:w="0" w:type="dxa"/>
        </w:trPr>
        <w:tc>
          <w:tcPr>
            <w:tcW w:w="0" w:type="auto"/>
            <w:vAlign w:val="center"/>
            <w:hideMark/>
          </w:tcPr>
          <w:p w14:paraId="7C0D0A79"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1B57B5A0"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c>
          <w:tcPr>
            <w:tcW w:w="0" w:type="auto"/>
            <w:vAlign w:val="center"/>
            <w:hideMark/>
          </w:tcPr>
          <w:p w14:paraId="0EDF83BC" w14:textId="77777777" w:rsidR="001E52A5" w:rsidRPr="007933E6" w:rsidRDefault="001E52A5" w:rsidP="001E52A5">
            <w:pPr>
              <w:rPr>
                <w:rFonts w:eastAsia="Times New Roman" w:cs="Times New Roman"/>
                <w:lang w:eastAsia="fr-FR"/>
              </w:rPr>
            </w:pPr>
            <w:r w:rsidRPr="007933E6">
              <w:rPr>
                <w:rFonts w:eastAsia="Times New Roman" w:cs="Times New Roman"/>
                <w:lang w:eastAsia="fr-FR"/>
              </w:rPr>
              <w:t> </w:t>
            </w:r>
          </w:p>
        </w:tc>
      </w:tr>
    </w:tbl>
    <w:p w14:paraId="7860BAF4" w14:textId="77777777" w:rsidR="009A42E9" w:rsidRPr="007933E6" w:rsidRDefault="009A42E9" w:rsidP="001E52A5">
      <w:pPr>
        <w:tabs>
          <w:tab w:val="left" w:pos="3760"/>
        </w:tabs>
      </w:pPr>
    </w:p>
    <w:sectPr w:rsidR="009A42E9" w:rsidRPr="007933E6" w:rsidSect="009A42E9">
      <w:footerReference w:type="default" r:id="rId2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64C754" w14:textId="77777777" w:rsidR="008A1D16" w:rsidRDefault="008A1D16" w:rsidP="008A1D16">
      <w:r>
        <w:separator/>
      </w:r>
    </w:p>
  </w:endnote>
  <w:endnote w:type="continuationSeparator" w:id="0">
    <w:p w14:paraId="44CED2AE" w14:textId="77777777" w:rsidR="008A1D16" w:rsidRDefault="008A1D16" w:rsidP="008A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1648C" w14:textId="6633B6F2" w:rsidR="008A1D16" w:rsidRDefault="008A1D16">
    <w:pPr>
      <w:pStyle w:val="Pieddepage"/>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F939AE">
      <w:rPr>
        <w:rFonts w:ascii="Times New Roman" w:hAnsi="Times New Roman"/>
        <w:noProof/>
      </w:rPr>
      <w:t>1</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F939AE">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0E65A" w14:textId="77777777" w:rsidR="008A1D16" w:rsidRDefault="008A1D16" w:rsidP="008A1D16">
      <w:r>
        <w:separator/>
      </w:r>
    </w:p>
  </w:footnote>
  <w:footnote w:type="continuationSeparator" w:id="0">
    <w:p w14:paraId="250B5C32" w14:textId="77777777" w:rsidR="008A1D16" w:rsidRDefault="008A1D16" w:rsidP="008A1D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526FA"/>
    <w:multiLevelType w:val="multilevel"/>
    <w:tmpl w:val="1764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A5"/>
    <w:rsid w:val="0017578C"/>
    <w:rsid w:val="001A6599"/>
    <w:rsid w:val="001E52A5"/>
    <w:rsid w:val="00202A9A"/>
    <w:rsid w:val="002E3710"/>
    <w:rsid w:val="00356FDD"/>
    <w:rsid w:val="004E405F"/>
    <w:rsid w:val="00600DFC"/>
    <w:rsid w:val="007933E6"/>
    <w:rsid w:val="008A1D16"/>
    <w:rsid w:val="008B3D9A"/>
    <w:rsid w:val="009872CC"/>
    <w:rsid w:val="009A42E9"/>
    <w:rsid w:val="00A01043"/>
    <w:rsid w:val="00A37CB2"/>
    <w:rsid w:val="00A92791"/>
    <w:rsid w:val="00B57274"/>
    <w:rsid w:val="00C96D60"/>
    <w:rsid w:val="00D71775"/>
    <w:rsid w:val="00EF41B1"/>
    <w:rsid w:val="00F939AE"/>
    <w:rsid w:val="00FB0FA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46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52A5"/>
    <w:rPr>
      <w:color w:val="0000FF"/>
      <w:u w:val="single"/>
    </w:rPr>
  </w:style>
  <w:style w:type="character" w:customStyle="1" w:styleId="infocongresnum">
    <w:name w:val="infocongresnum"/>
    <w:basedOn w:val="Policepardfaut"/>
    <w:rsid w:val="001E52A5"/>
  </w:style>
  <w:style w:type="character" w:customStyle="1" w:styleId="infoqui">
    <w:name w:val="infoqui"/>
    <w:basedOn w:val="Policepardfaut"/>
    <w:rsid w:val="001E52A5"/>
  </w:style>
  <w:style w:type="character" w:customStyle="1" w:styleId="infochemin">
    <w:name w:val="infochemin"/>
    <w:basedOn w:val="Policepardfaut"/>
    <w:rsid w:val="001E52A5"/>
  </w:style>
  <w:style w:type="character" w:customStyle="1" w:styleId="infocopyright">
    <w:name w:val="infocopyright"/>
    <w:basedOn w:val="Policepardfaut"/>
    <w:rsid w:val="001E52A5"/>
  </w:style>
  <w:style w:type="character" w:customStyle="1" w:styleId="pdf">
    <w:name w:val="pdf"/>
    <w:basedOn w:val="Policepardfaut"/>
    <w:rsid w:val="001E52A5"/>
  </w:style>
  <w:style w:type="character" w:customStyle="1" w:styleId="pointsessentielspara">
    <w:name w:val="pointsessentielspara"/>
    <w:basedOn w:val="Policepardfaut"/>
    <w:rsid w:val="001E52A5"/>
  </w:style>
  <w:style w:type="paragraph" w:customStyle="1" w:styleId="para">
    <w:name w:val="para"/>
    <w:basedOn w:val="Normal"/>
    <w:rsid w:val="001E52A5"/>
    <w:pPr>
      <w:spacing w:before="100" w:beforeAutospacing="1" w:after="100" w:afterAutospacing="1"/>
    </w:pPr>
    <w:rPr>
      <w:rFonts w:ascii="Times" w:hAnsi="Times"/>
      <w:sz w:val="20"/>
      <w:szCs w:val="20"/>
      <w:lang w:eastAsia="fr-FR"/>
    </w:rPr>
  </w:style>
  <w:style w:type="character" w:customStyle="1" w:styleId="bibliolabel">
    <w:name w:val="bibliolabel"/>
    <w:basedOn w:val="Policepardfaut"/>
    <w:rsid w:val="001E52A5"/>
  </w:style>
  <w:style w:type="character" w:customStyle="1" w:styleId="espacemini">
    <w:name w:val="espacemini"/>
    <w:basedOn w:val="Policepardfaut"/>
    <w:rsid w:val="001E52A5"/>
  </w:style>
  <w:style w:type="paragraph" w:styleId="Textedebulles">
    <w:name w:val="Balloon Text"/>
    <w:basedOn w:val="Normal"/>
    <w:link w:val="TextedebullesCar"/>
    <w:uiPriority w:val="99"/>
    <w:semiHidden/>
    <w:unhideWhenUsed/>
    <w:rsid w:val="001E52A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E52A5"/>
    <w:rPr>
      <w:rFonts w:ascii="Lucida Grande" w:hAnsi="Lucida Grande" w:cs="Lucida Grande"/>
      <w:sz w:val="18"/>
      <w:szCs w:val="18"/>
      <w:lang w:val="fr-FR"/>
    </w:rPr>
  </w:style>
  <w:style w:type="paragraph" w:styleId="En-tte">
    <w:name w:val="header"/>
    <w:basedOn w:val="Normal"/>
    <w:link w:val="En-tteCar"/>
    <w:uiPriority w:val="99"/>
    <w:unhideWhenUsed/>
    <w:rsid w:val="008A1D16"/>
    <w:pPr>
      <w:tabs>
        <w:tab w:val="center" w:pos="4536"/>
        <w:tab w:val="right" w:pos="9072"/>
      </w:tabs>
    </w:pPr>
  </w:style>
  <w:style w:type="character" w:customStyle="1" w:styleId="En-tteCar">
    <w:name w:val="En-tête Car"/>
    <w:basedOn w:val="Policepardfaut"/>
    <w:link w:val="En-tte"/>
    <w:uiPriority w:val="99"/>
    <w:rsid w:val="008A1D16"/>
    <w:rPr>
      <w:lang w:val="fr-FR"/>
    </w:rPr>
  </w:style>
  <w:style w:type="paragraph" w:styleId="Pieddepage">
    <w:name w:val="footer"/>
    <w:basedOn w:val="Normal"/>
    <w:link w:val="PieddepageCar"/>
    <w:uiPriority w:val="99"/>
    <w:unhideWhenUsed/>
    <w:rsid w:val="008A1D16"/>
    <w:pPr>
      <w:tabs>
        <w:tab w:val="center" w:pos="4536"/>
        <w:tab w:val="right" w:pos="9072"/>
      </w:tabs>
    </w:pPr>
  </w:style>
  <w:style w:type="character" w:customStyle="1" w:styleId="PieddepageCar">
    <w:name w:val="Pied de page Car"/>
    <w:basedOn w:val="Policepardfaut"/>
    <w:link w:val="Pieddepage"/>
    <w:uiPriority w:val="99"/>
    <w:rsid w:val="008A1D16"/>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52A5"/>
    <w:rPr>
      <w:color w:val="0000FF"/>
      <w:u w:val="single"/>
    </w:rPr>
  </w:style>
  <w:style w:type="character" w:customStyle="1" w:styleId="infocongresnum">
    <w:name w:val="infocongresnum"/>
    <w:basedOn w:val="Policepardfaut"/>
    <w:rsid w:val="001E52A5"/>
  </w:style>
  <w:style w:type="character" w:customStyle="1" w:styleId="infoqui">
    <w:name w:val="infoqui"/>
    <w:basedOn w:val="Policepardfaut"/>
    <w:rsid w:val="001E52A5"/>
  </w:style>
  <w:style w:type="character" w:customStyle="1" w:styleId="infochemin">
    <w:name w:val="infochemin"/>
    <w:basedOn w:val="Policepardfaut"/>
    <w:rsid w:val="001E52A5"/>
  </w:style>
  <w:style w:type="character" w:customStyle="1" w:styleId="infocopyright">
    <w:name w:val="infocopyright"/>
    <w:basedOn w:val="Policepardfaut"/>
    <w:rsid w:val="001E52A5"/>
  </w:style>
  <w:style w:type="character" w:customStyle="1" w:styleId="pdf">
    <w:name w:val="pdf"/>
    <w:basedOn w:val="Policepardfaut"/>
    <w:rsid w:val="001E52A5"/>
  </w:style>
  <w:style w:type="character" w:customStyle="1" w:styleId="pointsessentielspara">
    <w:name w:val="pointsessentielspara"/>
    <w:basedOn w:val="Policepardfaut"/>
    <w:rsid w:val="001E52A5"/>
  </w:style>
  <w:style w:type="paragraph" w:customStyle="1" w:styleId="para">
    <w:name w:val="para"/>
    <w:basedOn w:val="Normal"/>
    <w:rsid w:val="001E52A5"/>
    <w:pPr>
      <w:spacing w:before="100" w:beforeAutospacing="1" w:after="100" w:afterAutospacing="1"/>
    </w:pPr>
    <w:rPr>
      <w:rFonts w:ascii="Times" w:hAnsi="Times"/>
      <w:sz w:val="20"/>
      <w:szCs w:val="20"/>
      <w:lang w:eastAsia="fr-FR"/>
    </w:rPr>
  </w:style>
  <w:style w:type="character" w:customStyle="1" w:styleId="bibliolabel">
    <w:name w:val="bibliolabel"/>
    <w:basedOn w:val="Policepardfaut"/>
    <w:rsid w:val="001E52A5"/>
  </w:style>
  <w:style w:type="character" w:customStyle="1" w:styleId="espacemini">
    <w:name w:val="espacemini"/>
    <w:basedOn w:val="Policepardfaut"/>
    <w:rsid w:val="001E52A5"/>
  </w:style>
  <w:style w:type="paragraph" w:styleId="Textedebulles">
    <w:name w:val="Balloon Text"/>
    <w:basedOn w:val="Normal"/>
    <w:link w:val="TextedebullesCar"/>
    <w:uiPriority w:val="99"/>
    <w:semiHidden/>
    <w:unhideWhenUsed/>
    <w:rsid w:val="001E52A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E52A5"/>
    <w:rPr>
      <w:rFonts w:ascii="Lucida Grande" w:hAnsi="Lucida Grande" w:cs="Lucida Grande"/>
      <w:sz w:val="18"/>
      <w:szCs w:val="18"/>
      <w:lang w:val="fr-FR"/>
    </w:rPr>
  </w:style>
  <w:style w:type="paragraph" w:styleId="En-tte">
    <w:name w:val="header"/>
    <w:basedOn w:val="Normal"/>
    <w:link w:val="En-tteCar"/>
    <w:uiPriority w:val="99"/>
    <w:unhideWhenUsed/>
    <w:rsid w:val="008A1D16"/>
    <w:pPr>
      <w:tabs>
        <w:tab w:val="center" w:pos="4536"/>
        <w:tab w:val="right" w:pos="9072"/>
      </w:tabs>
    </w:pPr>
  </w:style>
  <w:style w:type="character" w:customStyle="1" w:styleId="En-tteCar">
    <w:name w:val="En-tête Car"/>
    <w:basedOn w:val="Policepardfaut"/>
    <w:link w:val="En-tte"/>
    <w:uiPriority w:val="99"/>
    <w:rsid w:val="008A1D16"/>
    <w:rPr>
      <w:lang w:val="fr-FR"/>
    </w:rPr>
  </w:style>
  <w:style w:type="paragraph" w:styleId="Pieddepage">
    <w:name w:val="footer"/>
    <w:basedOn w:val="Normal"/>
    <w:link w:val="PieddepageCar"/>
    <w:uiPriority w:val="99"/>
    <w:unhideWhenUsed/>
    <w:rsid w:val="008A1D16"/>
    <w:pPr>
      <w:tabs>
        <w:tab w:val="center" w:pos="4536"/>
        <w:tab w:val="right" w:pos="9072"/>
      </w:tabs>
    </w:pPr>
  </w:style>
  <w:style w:type="character" w:customStyle="1" w:styleId="PieddepageCar">
    <w:name w:val="Pied de page Car"/>
    <w:basedOn w:val="Policepardfaut"/>
    <w:link w:val="Pieddepage"/>
    <w:uiPriority w:val="99"/>
    <w:rsid w:val="008A1D16"/>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44715">
      <w:bodyDiv w:val="1"/>
      <w:marLeft w:val="0"/>
      <w:marRight w:val="0"/>
      <w:marTop w:val="0"/>
      <w:marBottom w:val="0"/>
      <w:divBdr>
        <w:top w:val="none" w:sz="0" w:space="0" w:color="auto"/>
        <w:left w:val="none" w:sz="0" w:space="0" w:color="auto"/>
        <w:bottom w:val="none" w:sz="0" w:space="0" w:color="auto"/>
        <w:right w:val="none" w:sz="0" w:space="0" w:color="auto"/>
      </w:divBdr>
      <w:divsChild>
        <w:div w:id="2125348327">
          <w:marLeft w:val="0"/>
          <w:marRight w:val="0"/>
          <w:marTop w:val="0"/>
          <w:marBottom w:val="0"/>
          <w:divBdr>
            <w:top w:val="none" w:sz="0" w:space="0" w:color="auto"/>
            <w:left w:val="none" w:sz="0" w:space="0" w:color="auto"/>
            <w:bottom w:val="none" w:sz="0" w:space="0" w:color="auto"/>
            <w:right w:val="none" w:sz="0" w:space="0" w:color="auto"/>
          </w:divBdr>
        </w:div>
        <w:div w:id="423376661">
          <w:marLeft w:val="0"/>
          <w:marRight w:val="0"/>
          <w:marTop w:val="0"/>
          <w:marBottom w:val="0"/>
          <w:divBdr>
            <w:top w:val="none" w:sz="0" w:space="0" w:color="auto"/>
            <w:left w:val="none" w:sz="0" w:space="0" w:color="auto"/>
            <w:bottom w:val="none" w:sz="0" w:space="0" w:color="auto"/>
            <w:right w:val="none" w:sz="0" w:space="0" w:color="auto"/>
          </w:divBdr>
        </w:div>
        <w:div w:id="510874164">
          <w:marLeft w:val="0"/>
          <w:marRight w:val="0"/>
          <w:marTop w:val="0"/>
          <w:marBottom w:val="0"/>
          <w:divBdr>
            <w:top w:val="none" w:sz="0" w:space="0" w:color="auto"/>
            <w:left w:val="none" w:sz="0" w:space="0" w:color="auto"/>
            <w:bottom w:val="none" w:sz="0" w:space="0" w:color="auto"/>
            <w:right w:val="none" w:sz="0" w:space="0" w:color="auto"/>
          </w:divBdr>
          <w:divsChild>
            <w:div w:id="1077433280">
              <w:marLeft w:val="0"/>
              <w:marRight w:val="0"/>
              <w:marTop w:val="0"/>
              <w:marBottom w:val="0"/>
              <w:divBdr>
                <w:top w:val="none" w:sz="0" w:space="0" w:color="auto"/>
                <w:left w:val="none" w:sz="0" w:space="0" w:color="auto"/>
                <w:bottom w:val="none" w:sz="0" w:space="0" w:color="auto"/>
                <w:right w:val="none" w:sz="0" w:space="0" w:color="auto"/>
              </w:divBdr>
            </w:div>
          </w:divsChild>
        </w:div>
        <w:div w:id="490099583">
          <w:marLeft w:val="0"/>
          <w:marRight w:val="0"/>
          <w:marTop w:val="0"/>
          <w:marBottom w:val="0"/>
          <w:divBdr>
            <w:top w:val="none" w:sz="0" w:space="0" w:color="auto"/>
            <w:left w:val="none" w:sz="0" w:space="0" w:color="auto"/>
            <w:bottom w:val="none" w:sz="0" w:space="0" w:color="auto"/>
            <w:right w:val="none" w:sz="0" w:space="0" w:color="auto"/>
          </w:divBdr>
          <w:divsChild>
            <w:div w:id="1177767373">
              <w:marLeft w:val="0"/>
              <w:marRight w:val="0"/>
              <w:marTop w:val="0"/>
              <w:marBottom w:val="0"/>
              <w:divBdr>
                <w:top w:val="none" w:sz="0" w:space="0" w:color="auto"/>
                <w:left w:val="none" w:sz="0" w:space="0" w:color="auto"/>
                <w:bottom w:val="none" w:sz="0" w:space="0" w:color="auto"/>
                <w:right w:val="none" w:sz="0" w:space="0" w:color="auto"/>
              </w:divBdr>
            </w:div>
          </w:divsChild>
        </w:div>
        <w:div w:id="194733852">
          <w:marLeft w:val="0"/>
          <w:marRight w:val="0"/>
          <w:marTop w:val="0"/>
          <w:marBottom w:val="0"/>
          <w:divBdr>
            <w:top w:val="none" w:sz="0" w:space="0" w:color="auto"/>
            <w:left w:val="none" w:sz="0" w:space="0" w:color="auto"/>
            <w:bottom w:val="none" w:sz="0" w:space="0" w:color="auto"/>
            <w:right w:val="none" w:sz="0" w:space="0" w:color="auto"/>
          </w:divBdr>
          <w:divsChild>
            <w:div w:id="446780701">
              <w:marLeft w:val="0"/>
              <w:marRight w:val="0"/>
              <w:marTop w:val="0"/>
              <w:marBottom w:val="0"/>
              <w:divBdr>
                <w:top w:val="none" w:sz="0" w:space="0" w:color="auto"/>
                <w:left w:val="none" w:sz="0" w:space="0" w:color="auto"/>
                <w:bottom w:val="none" w:sz="0" w:space="0" w:color="auto"/>
                <w:right w:val="none" w:sz="0" w:space="0" w:color="auto"/>
              </w:divBdr>
              <w:divsChild>
                <w:div w:id="1184980599">
                  <w:marLeft w:val="0"/>
                  <w:marRight w:val="0"/>
                  <w:marTop w:val="0"/>
                  <w:marBottom w:val="0"/>
                  <w:divBdr>
                    <w:top w:val="none" w:sz="0" w:space="0" w:color="auto"/>
                    <w:left w:val="none" w:sz="0" w:space="0" w:color="auto"/>
                    <w:bottom w:val="none" w:sz="0" w:space="0" w:color="auto"/>
                    <w:right w:val="none" w:sz="0" w:space="0" w:color="auto"/>
                  </w:divBdr>
                </w:div>
              </w:divsChild>
            </w:div>
            <w:div w:id="1671563089">
              <w:marLeft w:val="0"/>
              <w:marRight w:val="0"/>
              <w:marTop w:val="0"/>
              <w:marBottom w:val="0"/>
              <w:divBdr>
                <w:top w:val="none" w:sz="0" w:space="0" w:color="auto"/>
                <w:left w:val="none" w:sz="0" w:space="0" w:color="auto"/>
                <w:bottom w:val="none" w:sz="0" w:space="0" w:color="auto"/>
                <w:right w:val="none" w:sz="0" w:space="0" w:color="auto"/>
              </w:divBdr>
              <w:divsChild>
                <w:div w:id="1450975654">
                  <w:marLeft w:val="0"/>
                  <w:marRight w:val="0"/>
                  <w:marTop w:val="0"/>
                  <w:marBottom w:val="0"/>
                  <w:divBdr>
                    <w:top w:val="none" w:sz="0" w:space="0" w:color="auto"/>
                    <w:left w:val="none" w:sz="0" w:space="0" w:color="auto"/>
                    <w:bottom w:val="none" w:sz="0" w:space="0" w:color="auto"/>
                    <w:right w:val="none" w:sz="0" w:space="0" w:color="auto"/>
                  </w:divBdr>
                </w:div>
              </w:divsChild>
            </w:div>
            <w:div w:id="1848321432">
              <w:marLeft w:val="0"/>
              <w:marRight w:val="0"/>
              <w:marTop w:val="0"/>
              <w:marBottom w:val="0"/>
              <w:divBdr>
                <w:top w:val="none" w:sz="0" w:space="0" w:color="auto"/>
                <w:left w:val="none" w:sz="0" w:space="0" w:color="auto"/>
                <w:bottom w:val="none" w:sz="0" w:space="0" w:color="auto"/>
                <w:right w:val="none" w:sz="0" w:space="0" w:color="auto"/>
              </w:divBdr>
              <w:divsChild>
                <w:div w:id="1026640984">
                  <w:marLeft w:val="0"/>
                  <w:marRight w:val="0"/>
                  <w:marTop w:val="0"/>
                  <w:marBottom w:val="0"/>
                  <w:divBdr>
                    <w:top w:val="none" w:sz="0" w:space="0" w:color="auto"/>
                    <w:left w:val="none" w:sz="0" w:space="0" w:color="auto"/>
                    <w:bottom w:val="none" w:sz="0" w:space="0" w:color="auto"/>
                    <w:right w:val="none" w:sz="0" w:space="0" w:color="auto"/>
                  </w:divBdr>
                </w:div>
              </w:divsChild>
            </w:div>
            <w:div w:id="1311667485">
              <w:marLeft w:val="0"/>
              <w:marRight w:val="0"/>
              <w:marTop w:val="0"/>
              <w:marBottom w:val="0"/>
              <w:divBdr>
                <w:top w:val="none" w:sz="0" w:space="0" w:color="auto"/>
                <w:left w:val="none" w:sz="0" w:space="0" w:color="auto"/>
                <w:bottom w:val="none" w:sz="0" w:space="0" w:color="auto"/>
                <w:right w:val="none" w:sz="0" w:space="0" w:color="auto"/>
              </w:divBdr>
              <w:divsChild>
                <w:div w:id="121700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9413">
          <w:marLeft w:val="0"/>
          <w:marRight w:val="0"/>
          <w:marTop w:val="0"/>
          <w:marBottom w:val="0"/>
          <w:divBdr>
            <w:top w:val="none" w:sz="0" w:space="0" w:color="auto"/>
            <w:left w:val="none" w:sz="0" w:space="0" w:color="auto"/>
            <w:bottom w:val="none" w:sz="0" w:space="0" w:color="auto"/>
            <w:right w:val="none" w:sz="0" w:space="0" w:color="auto"/>
          </w:divBdr>
          <w:divsChild>
            <w:div w:id="8492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sfar.org/acta/dossier/2009/inf_B978-2-8101-0173-3.c0006.html" TargetMode="External"/><Relationship Id="rId21" Type="http://schemas.openxmlformats.org/officeDocument/2006/relationships/hyperlink" Target="http://www.sfar.org/acta/dossier/2009/inf_B978-2-8101-0173-3.c0006.html" TargetMode="External"/><Relationship Id="rId22" Type="http://schemas.openxmlformats.org/officeDocument/2006/relationships/hyperlink" Target="http://www.sfar.org/acta/dossier/2009/inf_B978-2-8101-0173-3.c0006.html" TargetMode="External"/><Relationship Id="rId23" Type="http://schemas.openxmlformats.org/officeDocument/2006/relationships/hyperlink" Target="http://www.sfar.org/acta/dossier/2009/inf_B978-2-8101-0173-3.c0006.html" TargetMode="External"/><Relationship Id="rId24" Type="http://schemas.openxmlformats.org/officeDocument/2006/relationships/hyperlink" Target="http://www.sfar.org/acta/dossier/2009/inf_B978-2-8101-0173-3.c0006.html" TargetMode="External"/><Relationship Id="rId25" Type="http://schemas.openxmlformats.org/officeDocument/2006/relationships/hyperlink" Target="http://www.sfar.org/acta/dossier/2009/inf_B978-2-8101-0173-3.c0006.html" TargetMode="External"/><Relationship Id="rId26" Type="http://schemas.openxmlformats.org/officeDocument/2006/relationships/hyperlink" Target="http://www.sfar.org/acta/dossier/2009/inf_B978-2-8101-0173-3.c0006.html" TargetMode="Externa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sfar.org/acta/dossier/2009/inf_B978-2-8101-0173-3.c0006.html" TargetMode="External"/><Relationship Id="rId12" Type="http://schemas.openxmlformats.org/officeDocument/2006/relationships/hyperlink" Target="http://www.sfar.org/acta/dossier/2009/inf_B978-2-8101-0173-3.c0006.html" TargetMode="External"/><Relationship Id="rId13" Type="http://schemas.openxmlformats.org/officeDocument/2006/relationships/hyperlink" Target="http://www.sfar.org/acta/dossier/2009/inf_B978-2-8101-0173-3.c0006.html" TargetMode="External"/><Relationship Id="rId14" Type="http://schemas.openxmlformats.org/officeDocument/2006/relationships/hyperlink" Target="http://www.sfar.org/acta/dossier/2009/inf_B978-2-8101-0173-3.c0006.html" TargetMode="External"/><Relationship Id="rId15" Type="http://schemas.openxmlformats.org/officeDocument/2006/relationships/hyperlink" Target="http://www.sfar.org/acta/dossier/2009/inf_B978-2-8101-0173-3.c0006.html" TargetMode="External"/><Relationship Id="rId16" Type="http://schemas.openxmlformats.org/officeDocument/2006/relationships/hyperlink" Target="http://www.sfar.org/acta/dossier/2009/inf_B978-2-8101-0173-3.c0006.html" TargetMode="External"/><Relationship Id="rId17" Type="http://schemas.openxmlformats.org/officeDocument/2006/relationships/hyperlink" Target="http://www.sfar.org/acta/dossier/2009/inf_B978-2-8101-0173-3.c0006.html" TargetMode="External"/><Relationship Id="rId18" Type="http://schemas.openxmlformats.org/officeDocument/2006/relationships/hyperlink" Target="http://www.sfar.org/acta/dossier/2009/inf_B978-2-8101-0173-3.c0006.html" TargetMode="External"/><Relationship Id="rId19" Type="http://schemas.openxmlformats.org/officeDocument/2006/relationships/hyperlink" Target="http://www.sfar.org/acta/dossier/2009/inf_B978-2-8101-0173-3.c0006.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lvoci@yahoo.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Words>
  <Characters>16768</Characters>
  <Application>Microsoft Macintosh Word</Application>
  <DocSecurity>0</DocSecurity>
  <Lines>139</Lines>
  <Paragraphs>39</Paragraphs>
  <ScaleCrop>false</ScaleCrop>
  <Company/>
  <LinksUpToDate>false</LinksUpToDate>
  <CharactersWithSpaces>19777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2016-07-13T12:02:00Z</cp:lastPrinted>
  <dcterms:created xsi:type="dcterms:W3CDTF">2016-07-13T12:02:00Z</dcterms:created>
  <dcterms:modified xsi:type="dcterms:W3CDTF">2016-07-13T12:02:00Z</dcterms:modified>
</cp:coreProperties>
</file>